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pacing w:line="580" w:lineRule="exact"/>
        <w:jc w:val="center"/>
        <w:textAlignment w:val="auto"/>
        <w:rPr>
          <w:rFonts w:hint="default" w:eastAsia="方正小标宋简体" w:cs="宋体"/>
          <w:bCs/>
          <w:kern w:val="0"/>
          <w:sz w:val="44"/>
          <w:szCs w:val="44"/>
          <w:highlight w:val="none"/>
          <w:lang w:val="en-US" w:eastAsia="zh-CN"/>
        </w:rPr>
      </w:pPr>
      <w:r>
        <w:rPr>
          <w:rFonts w:hint="eastAsia" w:eastAsia="方正小标宋简体" w:cs="宋体"/>
          <w:bCs/>
          <w:kern w:val="0"/>
          <w:sz w:val="44"/>
          <w:szCs w:val="44"/>
          <w:lang w:val="en-US" w:eastAsia="zh-CN"/>
        </w:rPr>
        <w:t>江北区商务局关于公开征求《</w:t>
      </w:r>
      <w:r>
        <w:rPr>
          <w:rFonts w:hint="eastAsia" w:eastAsia="方正小标宋简体" w:cs="宋体"/>
          <w:bCs/>
          <w:kern w:val="0"/>
          <w:sz w:val="44"/>
          <w:szCs w:val="44"/>
        </w:rPr>
        <w:t>关于</w:t>
      </w:r>
      <w:r>
        <w:rPr>
          <w:rFonts w:hint="eastAsia" w:eastAsia="方正小标宋简体" w:cs="宋体"/>
          <w:bCs/>
          <w:kern w:val="0"/>
          <w:sz w:val="44"/>
          <w:szCs w:val="44"/>
          <w:lang w:val="en-US" w:eastAsia="zh-CN"/>
        </w:rPr>
        <w:t>进一步</w:t>
      </w:r>
      <w:r>
        <w:rPr>
          <w:rFonts w:hint="eastAsia" w:eastAsia="方正小标宋简体" w:cs="宋体"/>
          <w:bCs/>
          <w:kern w:val="0"/>
          <w:sz w:val="44"/>
          <w:szCs w:val="44"/>
          <w:lang w:val="zh-CN"/>
        </w:rPr>
        <w:t>促进商务经济发展的若干意见</w:t>
      </w:r>
      <w:r>
        <w:rPr>
          <w:rFonts w:hint="eastAsia" w:eastAsia="方正小标宋简体" w:cs="宋体"/>
          <w:bCs/>
          <w:kern w:val="0"/>
          <w:sz w:val="44"/>
          <w:szCs w:val="44"/>
          <w:highlight w:val="none"/>
          <w:lang w:eastAsia="zh-CN"/>
        </w:rPr>
        <w:t>（</w:t>
      </w:r>
      <w:r>
        <w:rPr>
          <w:rFonts w:hint="eastAsia" w:eastAsia="方正小标宋简体" w:cs="宋体"/>
          <w:bCs/>
          <w:kern w:val="0"/>
          <w:sz w:val="44"/>
          <w:szCs w:val="44"/>
          <w:highlight w:val="none"/>
          <w:lang w:val="en-US" w:eastAsia="zh-CN"/>
        </w:rPr>
        <w:t>征求意见稿</w:t>
      </w:r>
      <w:r>
        <w:rPr>
          <w:rFonts w:hint="eastAsia" w:eastAsia="方正小标宋简体" w:cs="宋体"/>
          <w:bCs/>
          <w:kern w:val="0"/>
          <w:sz w:val="44"/>
          <w:szCs w:val="44"/>
          <w:highlight w:val="none"/>
          <w:lang w:eastAsia="zh-CN"/>
        </w:rPr>
        <w:t>）</w:t>
      </w:r>
      <w:r>
        <w:rPr>
          <w:rFonts w:hint="eastAsia" w:eastAsia="方正小标宋简体" w:cs="宋体"/>
          <w:bCs/>
          <w:kern w:val="0"/>
          <w:sz w:val="44"/>
          <w:szCs w:val="44"/>
          <w:lang w:val="en-US" w:eastAsia="zh-CN"/>
        </w:rPr>
        <w:t>》修改意见的通知</w:t>
      </w:r>
    </w:p>
    <w:p>
      <w:pPr>
        <w:keepNext w:val="0"/>
        <w:keepLines w:val="0"/>
        <w:pageBreakBefore w:val="0"/>
        <w:widowControl w:val="0"/>
        <w:kinsoku/>
        <w:wordWrap/>
        <w:overflowPunct/>
        <w:topLinePunct w:val="0"/>
        <w:bidi w:val="0"/>
        <w:adjustRightInd/>
        <w:spacing w:line="580" w:lineRule="exact"/>
        <w:jc w:val="center"/>
        <w:textAlignment w:val="auto"/>
        <w:rPr>
          <w:rFonts w:hint="eastAsia" w:eastAsia="方正小标宋简体" w:cs="宋体"/>
          <w:bCs/>
          <w:kern w:val="0"/>
          <w:sz w:val="44"/>
          <w:szCs w:val="44"/>
        </w:rPr>
      </w:pPr>
    </w:p>
    <w:p>
      <w:pPr>
        <w:keepNext w:val="0"/>
        <w:keepLines w:val="0"/>
        <w:pageBreakBefore w:val="0"/>
        <w:widowControl w:val="0"/>
        <w:kinsoku/>
        <w:wordWrap/>
        <w:overflowPunct/>
        <w:topLinePunct w:val="0"/>
        <w:bidi w:val="0"/>
        <w:adjustRightInd/>
        <w:spacing w:line="580" w:lineRule="exact"/>
        <w:ind w:firstLine="640"/>
        <w:jc w:val="left"/>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为准确把握商务经济发展新形势新趋势，以商务经济高质量发展为主线，以构建国内国际“双循环”发展格局为引领，加快商务经济转型升级，构建对外开放新格局，促进消费市场优化提质，推进电子商务发展，拟由区政府印发《关于进一步促进商务经济发展的若干意见》，现公开向社会征求意见。请于12月7日（周一）前反馈区商务局。</w:t>
      </w:r>
    </w:p>
    <w:p>
      <w:pPr>
        <w:keepNext w:val="0"/>
        <w:keepLines w:val="0"/>
        <w:pageBreakBefore w:val="0"/>
        <w:widowControl w:val="0"/>
        <w:kinsoku/>
        <w:wordWrap/>
        <w:overflowPunct/>
        <w:topLinePunct w:val="0"/>
        <w:bidi w:val="0"/>
        <w:adjustRightInd/>
        <w:spacing w:line="580" w:lineRule="exact"/>
        <w:ind w:firstLine="640"/>
        <w:jc w:val="lef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联系人：区商务局外贸与服务贸易科 邵郑彬，联系电话：89385767，邮箱：154514866@qq.com，传真：89385767。</w:t>
      </w:r>
    </w:p>
    <w:p>
      <w:pPr>
        <w:keepNext w:val="0"/>
        <w:keepLines w:val="0"/>
        <w:pageBreakBefore w:val="0"/>
        <w:widowControl w:val="0"/>
        <w:kinsoku/>
        <w:wordWrap/>
        <w:overflowPunct/>
        <w:topLinePunct w:val="0"/>
        <w:bidi w:val="0"/>
        <w:adjustRightInd/>
        <w:spacing w:line="580" w:lineRule="exact"/>
        <w:ind w:firstLine="640"/>
        <w:jc w:val="left"/>
        <w:textAlignment w:val="auto"/>
        <w:rPr>
          <w:rFonts w:hint="eastAsia" w:ascii="仿宋_GB2312" w:hAnsi="仿宋_GB2312" w:eastAsia="仿宋_GB2312" w:cs="仿宋_GB2312"/>
          <w:bCs/>
          <w:kern w:val="0"/>
          <w:sz w:val="32"/>
          <w:szCs w:val="32"/>
          <w:lang w:val="en-US" w:eastAsia="zh-CN"/>
        </w:rPr>
      </w:pPr>
    </w:p>
    <w:p>
      <w:pPr>
        <w:keepNext w:val="0"/>
        <w:keepLines w:val="0"/>
        <w:pageBreakBefore w:val="0"/>
        <w:widowControl w:val="0"/>
        <w:kinsoku/>
        <w:wordWrap/>
        <w:overflowPunct/>
        <w:topLinePunct w:val="0"/>
        <w:bidi w:val="0"/>
        <w:adjustRightInd/>
        <w:spacing w:line="580" w:lineRule="exact"/>
        <w:ind w:firstLine="640"/>
        <w:jc w:val="both"/>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附件：《关于进一步促进商务经济发展的若干意见（征求意见稿）》</w:t>
      </w:r>
    </w:p>
    <w:p>
      <w:pPr>
        <w:keepNext w:val="0"/>
        <w:keepLines w:val="0"/>
        <w:pageBreakBefore w:val="0"/>
        <w:widowControl w:val="0"/>
        <w:kinsoku/>
        <w:wordWrap/>
        <w:overflowPunct/>
        <w:topLinePunct w:val="0"/>
        <w:bidi w:val="0"/>
        <w:adjustRightInd/>
        <w:spacing w:line="580" w:lineRule="exact"/>
        <w:ind w:firstLine="640"/>
        <w:jc w:val="both"/>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p>
    <w:p>
      <w:pPr>
        <w:keepNext w:val="0"/>
        <w:keepLines w:val="0"/>
        <w:pageBreakBefore w:val="0"/>
        <w:widowControl w:val="0"/>
        <w:kinsoku/>
        <w:wordWrap/>
        <w:overflowPunct/>
        <w:topLinePunct w:val="0"/>
        <w:bidi w:val="0"/>
        <w:adjustRightInd/>
        <w:spacing w:line="580" w:lineRule="exact"/>
        <w:ind w:firstLine="640"/>
        <w:jc w:val="both"/>
        <w:textAlignment w:val="auto"/>
        <w:rPr>
          <w:rFonts w:hint="eastAsia" w:ascii="仿宋_GB2312" w:hAnsi="仿宋_GB2312" w:eastAsia="仿宋_GB2312" w:cs="仿宋_GB2312"/>
          <w:bCs/>
          <w:kern w:val="0"/>
          <w:sz w:val="32"/>
          <w:szCs w:val="32"/>
          <w:lang w:val="en-US" w:eastAsia="zh-CN"/>
        </w:rPr>
      </w:pPr>
    </w:p>
    <w:p>
      <w:pPr>
        <w:keepNext w:val="0"/>
        <w:keepLines w:val="0"/>
        <w:pageBreakBefore w:val="0"/>
        <w:widowControl w:val="0"/>
        <w:kinsoku/>
        <w:wordWrap w:val="0"/>
        <w:overflowPunct/>
        <w:topLinePunct w:val="0"/>
        <w:bidi w:val="0"/>
        <w:adjustRightInd/>
        <w:spacing w:line="580" w:lineRule="exact"/>
        <w:ind w:firstLine="640"/>
        <w:jc w:val="right"/>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江北区商务局    </w:t>
      </w:r>
    </w:p>
    <w:p>
      <w:pPr>
        <w:keepNext w:val="0"/>
        <w:keepLines w:val="0"/>
        <w:pageBreakBefore w:val="0"/>
        <w:widowControl w:val="0"/>
        <w:kinsoku/>
        <w:wordWrap w:val="0"/>
        <w:overflowPunct/>
        <w:topLinePunct w:val="0"/>
        <w:bidi w:val="0"/>
        <w:adjustRightInd/>
        <w:spacing w:line="580" w:lineRule="exact"/>
        <w:ind w:firstLine="640"/>
        <w:jc w:val="righ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2020年11月30日</w:t>
      </w:r>
    </w:p>
    <w:p>
      <w:pPr>
        <w:keepNext w:val="0"/>
        <w:keepLines w:val="0"/>
        <w:pageBreakBefore w:val="0"/>
        <w:widowControl w:val="0"/>
        <w:kinsoku/>
        <w:wordWrap w:val="0"/>
        <w:overflowPunct/>
        <w:topLinePunct w:val="0"/>
        <w:bidi w:val="0"/>
        <w:adjustRightInd/>
        <w:spacing w:line="580" w:lineRule="exact"/>
        <w:ind w:firstLine="640"/>
        <w:jc w:val="right"/>
        <w:textAlignment w:val="auto"/>
        <w:rPr>
          <w:rFonts w:hint="eastAsia" w:ascii="仿宋_GB2312" w:hAnsi="仿宋_GB2312" w:eastAsia="仿宋_GB2312" w:cs="仿宋_GB2312"/>
          <w:bCs/>
          <w:kern w:val="0"/>
          <w:sz w:val="32"/>
          <w:szCs w:val="32"/>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val="0"/>
        <w:overflowPunct/>
        <w:topLinePunct w:val="0"/>
        <w:bidi w:val="0"/>
        <w:adjustRightInd/>
        <w:spacing w:line="580" w:lineRule="exact"/>
        <w:ind w:firstLine="640"/>
        <w:jc w:val="right"/>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  </w:t>
      </w:r>
    </w:p>
    <w:p>
      <w:pPr>
        <w:spacing w:line="580" w:lineRule="exact"/>
        <w:jc w:val="center"/>
        <w:rPr>
          <w:rFonts w:hint="eastAsia" w:ascii="方正小标宋简体" w:eastAsia="方正小标宋简体" w:cs="方正小标宋简体"/>
          <w:color w:val="auto"/>
          <w:sz w:val="44"/>
          <w:szCs w:val="44"/>
          <w:lang w:val="zh-CN"/>
        </w:rPr>
      </w:pPr>
      <w:r>
        <w:rPr>
          <w:rFonts w:hint="eastAsia" w:ascii="方正小标宋简体" w:eastAsia="方正小标宋简体"/>
          <w:bCs/>
          <w:color w:val="auto"/>
          <w:spacing w:val="-14"/>
          <w:sz w:val="44"/>
          <w:szCs w:val="44"/>
        </w:rPr>
        <w:t>关于</w:t>
      </w:r>
      <w:r>
        <w:rPr>
          <w:rFonts w:hint="eastAsia" w:ascii="方正小标宋简体" w:eastAsia="方正小标宋简体"/>
          <w:bCs/>
          <w:color w:val="auto"/>
          <w:spacing w:val="-14"/>
          <w:sz w:val="44"/>
          <w:szCs w:val="44"/>
          <w:lang w:val="en-US" w:eastAsia="zh-CN"/>
        </w:rPr>
        <w:t>进一步</w:t>
      </w:r>
      <w:r>
        <w:rPr>
          <w:rFonts w:hint="eastAsia" w:ascii="方正小标宋简体" w:eastAsia="方正小标宋简体" w:cs="方正小标宋简体"/>
          <w:color w:val="auto"/>
          <w:sz w:val="44"/>
          <w:szCs w:val="44"/>
          <w:lang w:val="zh-CN"/>
        </w:rPr>
        <w:t>促进商务经济发展的若干意见</w:t>
      </w:r>
    </w:p>
    <w:p>
      <w:pPr>
        <w:keepNext w:val="0"/>
        <w:keepLines w:val="0"/>
        <w:pageBreakBefore w:val="0"/>
        <w:widowControl w:val="0"/>
        <w:kinsoku/>
        <w:wordWrap/>
        <w:overflowPunct/>
        <w:topLinePunct w:val="0"/>
        <w:bidi w:val="0"/>
        <w:adjustRightInd/>
        <w:spacing w:line="580" w:lineRule="exact"/>
        <w:jc w:val="center"/>
        <w:textAlignment w:val="auto"/>
        <w:rPr>
          <w:rFonts w:hint="eastAsia" w:ascii="楷体_GB2312" w:hAnsi="楷体_GB2312" w:eastAsia="楷体_GB2312" w:cs="楷体_GB2312"/>
          <w:bCs/>
          <w:kern w:val="0"/>
          <w:sz w:val="32"/>
          <w:szCs w:val="32"/>
          <w:highlight w:val="none"/>
          <w:lang w:val="zh-CN" w:eastAsia="zh-CN"/>
        </w:rPr>
      </w:pPr>
      <w:r>
        <w:rPr>
          <w:rFonts w:hint="eastAsia" w:ascii="楷体_GB2312" w:hAnsi="楷体_GB2312" w:eastAsia="楷体_GB2312" w:cs="楷体_GB2312"/>
          <w:bCs/>
          <w:kern w:val="0"/>
          <w:sz w:val="32"/>
          <w:szCs w:val="32"/>
          <w:highlight w:val="none"/>
          <w:lang w:val="en-US" w:eastAsia="zh-CN"/>
        </w:rPr>
        <w:t>（征求意见稿）</w:t>
      </w:r>
    </w:p>
    <w:p>
      <w:pPr>
        <w:spacing w:line="580" w:lineRule="exact"/>
        <w:rPr>
          <w:rFonts w:ascii="仿宋_GB2312" w:hAnsi="宋体" w:eastAsia="仿宋_GB2312"/>
          <w:color w:val="auto"/>
          <w:sz w:val="32"/>
          <w:szCs w:val="32"/>
        </w:rPr>
      </w:pPr>
    </w:p>
    <w:p>
      <w:pPr>
        <w:autoSpaceDE w:val="0"/>
        <w:autoSpaceDN w:val="0"/>
        <w:adjustRightInd w:val="0"/>
        <w:spacing w:line="580" w:lineRule="exact"/>
        <w:ind w:firstLine="640" w:firstLineChars="200"/>
        <w:rPr>
          <w:rFonts w:ascii="黑体" w:eastAsia="黑体" w:cs="黑体"/>
          <w:color w:val="auto"/>
          <w:sz w:val="32"/>
          <w:szCs w:val="32"/>
          <w:lang w:val="zh-CN"/>
        </w:rPr>
      </w:pPr>
      <w:r>
        <w:rPr>
          <w:rFonts w:hint="eastAsia" w:ascii="黑体" w:eastAsia="黑体" w:cs="黑体"/>
          <w:color w:val="auto"/>
          <w:sz w:val="32"/>
          <w:szCs w:val="32"/>
          <w:lang w:val="zh-CN"/>
        </w:rPr>
        <w:t>一、支持招大扶强，</w:t>
      </w:r>
      <w:r>
        <w:rPr>
          <w:rFonts w:hint="eastAsia" w:ascii="黑体" w:eastAsia="黑体" w:cs="黑体"/>
          <w:color w:val="auto"/>
          <w:sz w:val="32"/>
          <w:szCs w:val="32"/>
        </w:rPr>
        <w:t>助力市场开拓</w:t>
      </w:r>
      <w:r>
        <w:rPr>
          <w:rFonts w:hint="eastAsia" w:ascii="黑体" w:eastAsia="黑体" w:cs="黑体"/>
          <w:color w:val="auto"/>
          <w:sz w:val="32"/>
          <w:szCs w:val="32"/>
          <w:lang w:val="zh-CN"/>
        </w:rPr>
        <w:t>，促进外贸转型升级</w:t>
      </w:r>
    </w:p>
    <w:p>
      <w:pPr>
        <w:autoSpaceDE w:val="0"/>
        <w:autoSpaceDN w:val="0"/>
        <w:adjustRightInd w:val="0"/>
        <w:spacing w:line="580" w:lineRule="exact"/>
        <w:ind w:firstLine="640"/>
        <w:rPr>
          <w:rFonts w:hint="default" w:ascii="楷体_GB2312" w:eastAsia="楷体_GB2312" w:cs="楷体_GB2312"/>
          <w:color w:val="auto"/>
          <w:sz w:val="32"/>
          <w:szCs w:val="32"/>
          <w:lang w:val="en-US" w:eastAsia="zh-CN"/>
        </w:rPr>
      </w:pPr>
      <w:r>
        <w:rPr>
          <w:rFonts w:hint="eastAsia" w:ascii="楷体_GB2312" w:eastAsia="楷体_GB2312" w:cs="楷体_GB2312"/>
          <w:color w:val="auto"/>
          <w:sz w:val="32"/>
          <w:szCs w:val="32"/>
          <w:lang w:val="en-US" w:eastAsia="zh-CN"/>
        </w:rPr>
        <w:t>1</w:t>
      </w:r>
      <w:r>
        <w:rPr>
          <w:rFonts w:hint="eastAsia" w:ascii="楷体_GB2312" w:eastAsia="楷体_GB2312" w:cs="楷体_GB2312"/>
          <w:color w:val="auto"/>
          <w:sz w:val="32"/>
          <w:szCs w:val="32"/>
          <w:lang w:val="zh-CN"/>
        </w:rPr>
        <w:t>．</w:t>
      </w:r>
      <w:r>
        <w:rPr>
          <w:rFonts w:hint="eastAsia" w:ascii="楷体_GB2312" w:eastAsia="楷体_GB2312" w:cs="楷体_GB2312"/>
          <w:color w:val="auto"/>
          <w:sz w:val="32"/>
          <w:szCs w:val="32"/>
          <w:lang w:val="en-US" w:eastAsia="zh-CN"/>
        </w:rPr>
        <w:t>鼓励引进规模外贸企业，充实外贸实体</w:t>
      </w:r>
      <w:r>
        <w:rPr>
          <w:rFonts w:hint="eastAsia" w:ascii="仿宋_GB2312" w:hAnsi="仿宋_GB2312" w:eastAsia="仿宋_GB2312" w:cs="仿宋_GB2312"/>
          <w:color w:val="auto"/>
          <w:sz w:val="32"/>
          <w:szCs w:val="32"/>
          <w:lang w:val="en-US" w:eastAsia="zh-CN"/>
        </w:rPr>
        <w:t>。对新引进的外贸企业（注册两年以内），两年累计进出口额超过1亿元且正增长的，每1亿元奖励10万元，最高奖励100万元。（第二年进出口规模达到高一档次奖励标准的，减去第一年已得奖励给予差额部分奖励。）</w:t>
      </w:r>
    </w:p>
    <w:p>
      <w:pPr>
        <w:autoSpaceDE w:val="0"/>
        <w:autoSpaceDN w:val="0"/>
        <w:adjustRightInd w:val="0"/>
        <w:spacing w:line="580" w:lineRule="exact"/>
        <w:ind w:firstLine="640"/>
        <w:rPr>
          <w:rFonts w:ascii="仿宋_GB2312" w:hAnsi="仿宋_GB2312" w:eastAsia="仿宋_GB2312" w:cs="仿宋_GB2312"/>
          <w:color w:val="auto"/>
          <w:sz w:val="32"/>
          <w:szCs w:val="32"/>
        </w:rPr>
      </w:pPr>
      <w:r>
        <w:rPr>
          <w:rFonts w:hint="eastAsia" w:ascii="楷体_GB2312" w:eastAsia="楷体_GB2312" w:cs="楷体_GB2312"/>
          <w:color w:val="auto"/>
          <w:sz w:val="32"/>
          <w:szCs w:val="32"/>
          <w:lang w:val="en-US" w:eastAsia="zh-CN"/>
        </w:rPr>
        <w:t>2</w:t>
      </w:r>
      <w:r>
        <w:rPr>
          <w:rFonts w:hint="eastAsia" w:ascii="楷体_GB2312" w:eastAsia="楷体_GB2312" w:cs="楷体_GB2312"/>
          <w:color w:val="auto"/>
          <w:sz w:val="32"/>
          <w:szCs w:val="32"/>
          <w:lang w:val="zh-CN"/>
        </w:rPr>
        <w:t>．鼓励原有企业做大做强，</w:t>
      </w:r>
      <w:r>
        <w:rPr>
          <w:rFonts w:hint="eastAsia" w:ascii="楷体_GB2312" w:eastAsia="楷体_GB2312" w:cs="楷体_GB2312"/>
          <w:color w:val="auto"/>
          <w:sz w:val="32"/>
          <w:szCs w:val="32"/>
        </w:rPr>
        <w:t>激发增长</w:t>
      </w:r>
      <w:r>
        <w:rPr>
          <w:rFonts w:hint="eastAsia" w:ascii="楷体_GB2312" w:eastAsia="楷体_GB2312" w:cs="楷体_GB2312"/>
          <w:color w:val="auto"/>
          <w:sz w:val="32"/>
          <w:szCs w:val="32"/>
          <w:lang w:val="zh-CN"/>
        </w:rPr>
        <w:t>潜力</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原有企业（注册两年以上），</w:t>
      </w:r>
      <w:r>
        <w:rPr>
          <w:rFonts w:hint="eastAsia" w:ascii="仿宋_GB2312" w:hAnsi="仿宋_GB2312" w:eastAsia="仿宋_GB2312" w:cs="仿宋_GB2312"/>
          <w:color w:val="auto"/>
          <w:sz w:val="32"/>
          <w:szCs w:val="32"/>
          <w:lang w:val="zh-CN"/>
        </w:rPr>
        <w:t>当年出口额在1亿元以上（含）</w:t>
      </w:r>
      <w:r>
        <w:rPr>
          <w:rFonts w:hint="eastAsia" w:ascii="仿宋_GB2312" w:hAnsi="仿宋_GB2312" w:eastAsia="仿宋_GB2312" w:cs="仿宋_GB2312"/>
          <w:color w:val="auto"/>
          <w:sz w:val="32"/>
          <w:szCs w:val="32"/>
          <w:lang w:val="en-US" w:eastAsia="zh-CN"/>
        </w:rPr>
        <w:t>的企业</w:t>
      </w:r>
      <w:r>
        <w:rPr>
          <w:rFonts w:hint="eastAsia" w:ascii="仿宋_GB2312" w:hAnsi="仿宋_GB2312" w:eastAsia="仿宋_GB2312" w:cs="仿宋_GB2312"/>
          <w:color w:val="auto"/>
          <w:sz w:val="32"/>
          <w:szCs w:val="32"/>
          <w:lang w:val="zh-CN"/>
        </w:rPr>
        <w:t>，以前二年出口平均值为基数（前年未发生实际出口的，以上一年出口额为基数），超出基数部分，每1亿元给予最高</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万元的奖励，每家企业当年最奖励额不超过50万元。当年进口额1亿元以上（含）</w:t>
      </w:r>
      <w:r>
        <w:rPr>
          <w:rFonts w:hint="eastAsia" w:ascii="仿宋_GB2312" w:hAnsi="仿宋_GB2312" w:eastAsia="仿宋_GB2312" w:cs="仿宋_GB2312"/>
          <w:color w:val="auto"/>
          <w:sz w:val="32"/>
          <w:szCs w:val="32"/>
          <w:lang w:val="en-US" w:eastAsia="zh-CN"/>
        </w:rPr>
        <w:t>的企业</w:t>
      </w:r>
      <w:r>
        <w:rPr>
          <w:rFonts w:hint="eastAsia" w:ascii="仿宋_GB2312" w:hAnsi="仿宋_GB2312" w:eastAsia="仿宋_GB2312" w:cs="仿宋_GB2312"/>
          <w:color w:val="auto"/>
          <w:sz w:val="32"/>
          <w:szCs w:val="32"/>
          <w:lang w:val="zh-CN"/>
        </w:rPr>
        <w:t>，以前二年进口平均值为基数（前年未发生实际进口的，以上一年进口额为基数），超基数部分每1亿元最高奖励</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万元，每家企业全年最高奖励额为</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0万元</w:t>
      </w:r>
      <w:r>
        <w:rPr>
          <w:rFonts w:hint="eastAsia" w:ascii="仿宋_GB2312" w:hAnsi="仿宋_GB2312" w:eastAsia="仿宋_GB2312" w:cs="仿宋_GB2312"/>
          <w:color w:val="auto"/>
          <w:sz w:val="32"/>
          <w:szCs w:val="32"/>
        </w:rPr>
        <w:t>。</w:t>
      </w:r>
    </w:p>
    <w:p>
      <w:pPr>
        <w:autoSpaceDE w:val="0"/>
        <w:autoSpaceDN w:val="0"/>
        <w:adjustRightInd w:val="0"/>
        <w:spacing w:line="580" w:lineRule="exact"/>
        <w:ind w:firstLine="640"/>
        <w:rPr>
          <w:rFonts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3</w:t>
      </w:r>
      <w:r>
        <w:rPr>
          <w:rFonts w:hint="eastAsia" w:ascii="楷体_GB2312" w:eastAsia="楷体_GB2312" w:cs="楷体_GB2312"/>
          <w:color w:val="auto"/>
          <w:sz w:val="32"/>
          <w:szCs w:val="32"/>
          <w:lang w:val="zh-CN"/>
        </w:rPr>
        <w:t>．</w:t>
      </w:r>
      <w:r>
        <w:rPr>
          <w:rFonts w:hint="eastAsia" w:ascii="楷体_GB2312" w:eastAsia="楷体_GB2312" w:cs="楷体_GB2312"/>
          <w:color w:val="auto"/>
          <w:sz w:val="32"/>
          <w:szCs w:val="32"/>
        </w:rPr>
        <w:t>实施区级</w:t>
      </w:r>
      <w:r>
        <w:rPr>
          <w:rFonts w:hint="eastAsia" w:ascii="楷体_GB2312" w:eastAsia="楷体_GB2312" w:cs="楷体_GB2312"/>
          <w:color w:val="auto"/>
          <w:sz w:val="32"/>
          <w:szCs w:val="32"/>
          <w:lang w:val="zh-CN"/>
        </w:rPr>
        <w:t>外贸实力效益</w:t>
      </w:r>
      <w:r>
        <w:rPr>
          <w:rFonts w:hint="eastAsia" w:ascii="楷体_GB2312" w:eastAsia="楷体_GB2312" w:cs="楷体_GB2312"/>
          <w:color w:val="auto"/>
          <w:sz w:val="32"/>
          <w:szCs w:val="32"/>
        </w:rPr>
        <w:t>工程，支持龙头企业发展</w:t>
      </w:r>
      <w:r>
        <w:rPr>
          <w:rFonts w:hint="eastAsia" w:ascii="楷体_GB2312" w:eastAsia="楷体_GB2312" w:cs="楷体_GB2312"/>
          <w:color w:val="auto"/>
          <w:sz w:val="32"/>
          <w:szCs w:val="32"/>
          <w:lang w:val="zh-CN"/>
        </w:rPr>
        <w:t>。</w:t>
      </w:r>
      <w:r>
        <w:rPr>
          <w:rFonts w:hint="eastAsia" w:ascii="仿宋_GB2312" w:eastAsia="仿宋_GB2312" w:cs="仿宋_GB2312"/>
          <w:color w:val="auto"/>
          <w:sz w:val="32"/>
          <w:szCs w:val="32"/>
          <w:lang w:val="zh-CN"/>
        </w:rPr>
        <w:t>对入选区级外贸实力效益企业（三年一评选，评定办法见附件一），并通过年度考核的企业（即在有效期内年度进出口实绩，进出口不低于3亿元或出口不低于2亿元，年度进出口、出口增幅保持正增长且不低于全区平均水平），在区级信保、展会政策补助方面给予重点支持。企业享受一般出口信保等保费补助和政府支持性展会补助不与留区所得挂钩，单家企业全年享受</w:t>
      </w:r>
      <w:r>
        <w:rPr>
          <w:rFonts w:hint="eastAsia" w:ascii="仿宋_GB2312" w:eastAsia="仿宋_GB2312" w:cs="仿宋_GB2312"/>
          <w:color w:val="auto"/>
          <w:sz w:val="32"/>
          <w:szCs w:val="32"/>
          <w:lang w:val="en-US" w:eastAsia="zh-CN"/>
        </w:rPr>
        <w:t>信保</w:t>
      </w:r>
      <w:bookmarkStart w:id="0" w:name="_GoBack"/>
      <w:bookmarkEnd w:id="0"/>
      <w:r>
        <w:rPr>
          <w:rFonts w:hint="eastAsia" w:ascii="仿宋_GB2312" w:eastAsia="仿宋_GB2312" w:cs="仿宋_GB2312"/>
          <w:color w:val="auto"/>
          <w:sz w:val="32"/>
          <w:szCs w:val="32"/>
          <w:lang w:val="zh-CN"/>
        </w:rPr>
        <w:t>保费和境内外参展补助上限分别提高至最高1</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lang w:val="zh-CN"/>
        </w:rPr>
        <w:t>0万元和50万元。对首次经认定的市级外贸实力效益企业，最高给予一次性奖励20万元。</w:t>
      </w:r>
    </w:p>
    <w:p>
      <w:pPr>
        <w:tabs>
          <w:tab w:val="left" w:pos="0"/>
          <w:tab w:val="left" w:pos="1440"/>
        </w:tabs>
        <w:autoSpaceDE w:val="0"/>
        <w:autoSpaceDN w:val="0"/>
        <w:adjustRightInd w:val="0"/>
        <w:spacing w:line="580" w:lineRule="exact"/>
        <w:ind w:firstLine="627"/>
        <w:rPr>
          <w:rFonts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4</w:t>
      </w:r>
      <w:r>
        <w:rPr>
          <w:rFonts w:hint="eastAsia" w:ascii="楷体_GB2312" w:eastAsia="楷体_GB2312" w:cs="楷体_GB2312"/>
          <w:color w:val="auto"/>
          <w:sz w:val="32"/>
          <w:szCs w:val="32"/>
          <w:lang w:val="zh-CN"/>
        </w:rPr>
        <w:t>．鼓励</w:t>
      </w:r>
      <w:r>
        <w:rPr>
          <w:rFonts w:hint="eastAsia" w:ascii="楷体_GB2312" w:eastAsia="楷体_GB2312" w:cs="楷体_GB2312"/>
          <w:color w:val="auto"/>
          <w:sz w:val="32"/>
          <w:szCs w:val="32"/>
        </w:rPr>
        <w:t>重点企业创新发展</w:t>
      </w:r>
      <w:r>
        <w:rPr>
          <w:rFonts w:hint="eastAsia" w:ascii="楷体_GB2312" w:eastAsia="楷体_GB2312" w:cs="楷体_GB2312"/>
          <w:color w:val="auto"/>
          <w:sz w:val="32"/>
          <w:szCs w:val="32"/>
          <w:lang w:val="zh-CN"/>
        </w:rPr>
        <w:t>，推动</w:t>
      </w:r>
      <w:r>
        <w:rPr>
          <w:rFonts w:hint="eastAsia" w:ascii="楷体_GB2312" w:eastAsia="楷体_GB2312" w:cs="楷体_GB2312"/>
          <w:color w:val="auto"/>
          <w:sz w:val="32"/>
          <w:szCs w:val="32"/>
        </w:rPr>
        <w:t>外贸转型升级</w:t>
      </w:r>
      <w:r>
        <w:rPr>
          <w:rFonts w:hint="eastAsia" w:ascii="楷体_GB2312" w:eastAsia="楷体_GB2312" w:cs="楷体_GB2312"/>
          <w:color w:val="auto"/>
          <w:sz w:val="32"/>
          <w:szCs w:val="32"/>
          <w:lang w:val="zh-CN"/>
        </w:rPr>
        <w:t>。</w:t>
      </w:r>
      <w:r>
        <w:rPr>
          <w:rFonts w:hint="eastAsia" w:ascii="仿宋_GB2312" w:eastAsia="仿宋_GB2312" w:cs="仿宋_GB2312"/>
          <w:color w:val="auto"/>
          <w:sz w:val="32"/>
          <w:szCs w:val="32"/>
          <w:lang w:val="zh-CN"/>
        </w:rPr>
        <w:t>对经</w:t>
      </w:r>
      <w:r>
        <w:rPr>
          <w:rFonts w:hint="eastAsia" w:ascii="仿宋_GB2312" w:eastAsia="仿宋_GB2312" w:cs="仿宋_GB2312"/>
          <w:color w:val="auto"/>
          <w:sz w:val="32"/>
          <w:szCs w:val="32"/>
        </w:rPr>
        <w:t>省、</w:t>
      </w:r>
      <w:r>
        <w:rPr>
          <w:rFonts w:hint="eastAsia" w:ascii="仿宋_GB2312" w:eastAsia="仿宋_GB2312" w:cs="仿宋_GB2312"/>
          <w:color w:val="auto"/>
          <w:sz w:val="32"/>
          <w:szCs w:val="32"/>
          <w:lang w:val="zh-CN"/>
        </w:rPr>
        <w:t>市认定的外贸综合服务企业，给予一次性奖励50万元；</w:t>
      </w:r>
      <w:r>
        <w:rPr>
          <w:rFonts w:hint="eastAsia" w:ascii="仿宋_GB2312" w:eastAsia="仿宋_GB2312" w:cs="仿宋_GB2312"/>
          <w:color w:val="auto"/>
          <w:sz w:val="32"/>
          <w:szCs w:val="32"/>
        </w:rPr>
        <w:t>对外贸综合服务企业投保出口信用保险，给予实际支付保费最高40%的补助，最高不超过100万元</w:t>
      </w:r>
      <w:r>
        <w:rPr>
          <w:rFonts w:hint="eastAsia" w:ascii="仿宋_GB2312" w:eastAsia="仿宋_GB2312" w:cs="仿宋_GB2312"/>
          <w:color w:val="auto"/>
          <w:sz w:val="32"/>
          <w:szCs w:val="32"/>
          <w:lang w:val="zh-CN"/>
        </w:rPr>
        <w:t>。对开展联合国采购综合服务，带动中小企业拓展联合国采购市场的贸易平台企业，首次年度联合国采购金额达到1亿美元的，最高给予一次性奖励50万元。</w:t>
      </w:r>
    </w:p>
    <w:p>
      <w:pPr>
        <w:tabs>
          <w:tab w:val="left" w:pos="0"/>
          <w:tab w:val="left" w:pos="1440"/>
        </w:tabs>
        <w:autoSpaceDE w:val="0"/>
        <w:autoSpaceDN w:val="0"/>
        <w:adjustRightInd w:val="0"/>
        <w:spacing w:line="580" w:lineRule="exact"/>
        <w:ind w:firstLine="640" w:firstLineChars="200"/>
        <w:rPr>
          <w:rFonts w:ascii="仿宋_GB2312" w:eastAsia="仿宋_GB2312" w:cs="仿宋_GB2312"/>
          <w:color w:val="auto"/>
          <w:sz w:val="32"/>
          <w:szCs w:val="32"/>
        </w:rPr>
      </w:pPr>
      <w:r>
        <w:rPr>
          <w:rFonts w:hint="eastAsia" w:ascii="楷体_GB2312" w:eastAsia="楷体_GB2312" w:cs="楷体_GB2312"/>
          <w:color w:val="auto"/>
          <w:sz w:val="32"/>
          <w:szCs w:val="32"/>
          <w:lang w:val="en-US" w:eastAsia="zh-CN"/>
        </w:rPr>
        <w:t>5</w:t>
      </w:r>
      <w:r>
        <w:rPr>
          <w:rFonts w:hint="eastAsia" w:ascii="楷体_GB2312" w:eastAsia="楷体_GB2312" w:cs="楷体_GB2312"/>
          <w:color w:val="auto"/>
          <w:sz w:val="32"/>
          <w:szCs w:val="32"/>
        </w:rPr>
        <w:t xml:space="preserve">. </w:t>
      </w:r>
      <w:r>
        <w:rPr>
          <w:rFonts w:hint="eastAsia" w:ascii="楷体_GB2312" w:eastAsia="楷体_GB2312" w:cs="楷体_GB2312"/>
          <w:color w:val="auto"/>
          <w:sz w:val="32"/>
          <w:szCs w:val="32"/>
          <w:lang w:val="zh-CN"/>
        </w:rPr>
        <w:t>鼓励</w:t>
      </w:r>
      <w:r>
        <w:rPr>
          <w:rFonts w:hint="eastAsia" w:ascii="楷体_GB2312" w:eastAsia="楷体_GB2312" w:cs="楷体_GB2312"/>
          <w:color w:val="auto"/>
          <w:sz w:val="32"/>
          <w:szCs w:val="32"/>
        </w:rPr>
        <w:t>发展服务外包产业，提升服务贸易比重</w:t>
      </w:r>
      <w:r>
        <w:rPr>
          <w:rFonts w:hint="eastAsia" w:ascii="楷体_GB2312" w:eastAsia="楷体_GB2312" w:cs="楷体_GB2312"/>
          <w:color w:val="auto"/>
          <w:sz w:val="32"/>
          <w:szCs w:val="32"/>
          <w:lang w:val="zh-CN"/>
        </w:rPr>
        <w:t>。</w:t>
      </w:r>
      <w:r>
        <w:rPr>
          <w:rFonts w:hint="eastAsia" w:ascii="仿宋_GB2312" w:eastAsia="仿宋_GB2312" w:cs="仿宋_GB2312"/>
          <w:color w:val="auto"/>
          <w:sz w:val="32"/>
          <w:szCs w:val="32"/>
        </w:rPr>
        <w:t>对经市级认定的服务外包企业，当年服务外包合同执行额（以商务部管理系统统计为准）实绩首次超过2000万元（含）的，最高给予一次性奖励1万元，比上一年度执行额每增加2000万元，最高奖励1万元；年离岸服务外包执行额（以商务部管理系统统计为准）实绩首次超过350万元的（含），最高奖励1万元，比上一年度执行额每增加350万元，最高奖励1万元，单家企业全年补助最高不超过10万元。鼓励金融、广告、游戏、信息等各类跨境服务贸易企业依托智能化软件开展跨境服务业务，对企业年服务收入达到20</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万元的，一次性给予10万元奖励。</w:t>
      </w:r>
    </w:p>
    <w:p>
      <w:pPr>
        <w:autoSpaceDE w:val="0"/>
        <w:autoSpaceDN w:val="0"/>
        <w:adjustRightInd w:val="0"/>
        <w:spacing w:line="580" w:lineRule="exact"/>
        <w:ind w:firstLine="640" w:firstLineChars="200"/>
        <w:rPr>
          <w:rFonts w:ascii="仿宋_GB2312" w:hAns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lang w:val="zh-CN"/>
        </w:rPr>
        <w:t>.</w:t>
      </w:r>
      <w:r>
        <w:rPr>
          <w:rFonts w:hint="eastAsia" w:ascii="楷体_GB2312" w:eastAsia="楷体_GB2312" w:cs="楷体_GB2312"/>
          <w:color w:val="auto"/>
          <w:sz w:val="32"/>
          <w:szCs w:val="32"/>
          <w:lang w:val="zh-CN"/>
        </w:rPr>
        <w:t>支持开展“两反两保”工作，</w:t>
      </w:r>
      <w:r>
        <w:rPr>
          <w:rFonts w:hint="eastAsia" w:ascii="楷体_GB2312" w:eastAsia="楷体_GB2312" w:cs="楷体_GB2312"/>
          <w:color w:val="auto"/>
          <w:sz w:val="32"/>
          <w:szCs w:val="32"/>
        </w:rPr>
        <w:t>强化贸易风险应对</w:t>
      </w:r>
      <w:r>
        <w:rPr>
          <w:rFonts w:hint="eastAsia" w:ascii="楷体_GB2312" w:eastAsia="楷体_GB2312" w:cs="楷体_GB2312"/>
          <w:color w:val="auto"/>
          <w:sz w:val="32"/>
          <w:szCs w:val="32"/>
          <w:lang w:val="zh-CN"/>
        </w:rPr>
        <w:t>。</w:t>
      </w:r>
      <w:r>
        <w:rPr>
          <w:rFonts w:hint="eastAsia" w:ascii="仿宋_GB2312" w:hAnsi="仿宋_GB2312" w:eastAsia="仿宋_GB2312" w:cs="仿宋_GB2312"/>
          <w:color w:val="auto"/>
          <w:sz w:val="32"/>
          <w:szCs w:val="32"/>
          <w:lang w:val="zh-CN"/>
        </w:rPr>
        <w:t>对企业“两反两保”应诉、技术性贸易壁垒应对、知识产权境外保护申诉等，给予企业实际发生诉讼费用最高40%的补助，单个项目补助额最高40万元。</w:t>
      </w:r>
    </w:p>
    <w:p>
      <w:pPr>
        <w:tabs>
          <w:tab w:val="left" w:pos="0"/>
        </w:tabs>
        <w:autoSpaceDE w:val="0"/>
        <w:autoSpaceDN w:val="0"/>
        <w:adjustRightInd w:val="0"/>
        <w:spacing w:line="580" w:lineRule="exact"/>
        <w:ind w:firstLine="627"/>
        <w:rPr>
          <w:rFonts w:ascii="仿宋_GB2312" w:hAnsi="仿宋_GB2312" w:eastAsia="仿宋_GB2312" w:cs="仿宋_GB2312"/>
          <w:color w:val="auto"/>
          <w:sz w:val="32"/>
          <w:szCs w:val="32"/>
        </w:rPr>
      </w:pPr>
      <w:r>
        <w:rPr>
          <w:rFonts w:hint="eastAsia" w:ascii="楷体_GB2312" w:eastAsia="楷体_GB2312" w:cs="楷体_GB2312"/>
          <w:color w:val="auto"/>
          <w:sz w:val="32"/>
          <w:szCs w:val="32"/>
          <w:lang w:val="en-US" w:eastAsia="zh-CN"/>
        </w:rPr>
        <w:t>7</w:t>
      </w:r>
      <w:r>
        <w:rPr>
          <w:rFonts w:hint="eastAsia" w:ascii="楷体_GB2312" w:eastAsia="楷体_GB2312" w:cs="楷体_GB2312"/>
          <w:color w:val="auto"/>
          <w:sz w:val="32"/>
          <w:szCs w:val="32"/>
          <w:lang w:val="zh-CN"/>
        </w:rPr>
        <w:t>．鼓励企业拓展海外业务，防范国际贸易风险。</w:t>
      </w:r>
      <w:r>
        <w:rPr>
          <w:rFonts w:hint="eastAsia" w:ascii="仿宋_GB2312" w:hAnsi="仿宋_GB2312" w:eastAsia="仿宋_GB2312" w:cs="仿宋_GB2312"/>
          <w:color w:val="auto"/>
          <w:sz w:val="32"/>
          <w:szCs w:val="32"/>
        </w:rPr>
        <w:t>对企业投保一般出口信用险，给予实际支付保费最高20%的补助；对小微企业参加政府统保的“信保易”出口信用保险，最高给予实际支付保费全额补助；鼓励企业通过加保出运前保险规避买方违约风险，对企业实际支付的出运前保险保费最高给予30%的补助；对进口企业投保关税保证保险和进口预付款保险产品，给予实际发生担保保险费用最高50%的补助。每家企业当年各类保费补助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w:t>
      </w:r>
    </w:p>
    <w:p>
      <w:pPr>
        <w:tabs>
          <w:tab w:val="left" w:pos="0"/>
          <w:tab w:val="left" w:pos="1440"/>
        </w:tabs>
        <w:autoSpaceDE w:val="0"/>
        <w:autoSpaceDN w:val="0"/>
        <w:adjustRightInd w:val="0"/>
        <w:spacing w:line="580" w:lineRule="exact"/>
        <w:ind w:firstLine="627"/>
        <w:rPr>
          <w:rFonts w:ascii="仿宋_GB2312" w:hAnsi="仿宋_GB2312" w:eastAsia="仿宋_GB2312" w:cs="仿宋_GB2312"/>
          <w:color w:val="auto"/>
          <w:sz w:val="32"/>
          <w:szCs w:val="32"/>
        </w:rPr>
      </w:pPr>
      <w:r>
        <w:rPr>
          <w:rFonts w:hint="eastAsia" w:ascii="楷体_GB2312" w:eastAsia="楷体_GB2312" w:cs="楷体_GB2312"/>
          <w:color w:val="auto"/>
          <w:sz w:val="32"/>
          <w:szCs w:val="32"/>
          <w:lang w:val="en-US" w:eastAsia="zh-CN"/>
        </w:rPr>
        <w:t>8</w:t>
      </w:r>
      <w:r>
        <w:rPr>
          <w:rFonts w:hint="eastAsia" w:ascii="楷体_GB2312" w:eastAsia="楷体_GB2312" w:cs="楷体_GB2312"/>
          <w:color w:val="auto"/>
          <w:sz w:val="32"/>
          <w:szCs w:val="32"/>
        </w:rPr>
        <w:t xml:space="preserve">. </w:t>
      </w:r>
      <w:r>
        <w:rPr>
          <w:rFonts w:hint="eastAsia" w:ascii="楷体_GB2312" w:eastAsia="楷体_GB2312" w:cs="楷体_GB2312"/>
          <w:color w:val="auto"/>
          <w:sz w:val="32"/>
          <w:szCs w:val="32"/>
          <w:lang w:val="zh-CN"/>
        </w:rPr>
        <w:t>鼓励参加境内</w:t>
      </w:r>
      <w:r>
        <w:rPr>
          <w:rFonts w:hint="eastAsia" w:ascii="楷体_GB2312" w:eastAsia="楷体_GB2312" w:cs="楷体_GB2312"/>
          <w:color w:val="auto"/>
          <w:sz w:val="32"/>
          <w:szCs w:val="32"/>
        </w:rPr>
        <w:t>境</w:t>
      </w:r>
      <w:r>
        <w:rPr>
          <w:rFonts w:hint="eastAsia" w:ascii="楷体_GB2312" w:eastAsia="楷体_GB2312" w:cs="楷体_GB2312"/>
          <w:color w:val="auto"/>
          <w:sz w:val="32"/>
          <w:szCs w:val="32"/>
          <w:lang w:val="zh-CN"/>
        </w:rPr>
        <w:t>外展会，推动开拓国际</w:t>
      </w:r>
      <w:r>
        <w:rPr>
          <w:rFonts w:hint="eastAsia" w:ascii="楷体_GB2312" w:eastAsia="楷体_GB2312" w:cs="楷体_GB2312"/>
          <w:color w:val="auto"/>
          <w:sz w:val="32"/>
          <w:szCs w:val="32"/>
          <w:lang w:val="en-US" w:eastAsia="zh-CN"/>
        </w:rPr>
        <w:t>国内</w:t>
      </w:r>
      <w:r>
        <w:rPr>
          <w:rFonts w:hint="eastAsia" w:ascii="楷体_GB2312" w:eastAsia="楷体_GB2312" w:cs="楷体_GB2312"/>
          <w:color w:val="auto"/>
          <w:sz w:val="32"/>
          <w:szCs w:val="32"/>
          <w:lang w:val="zh-CN"/>
        </w:rPr>
        <w:t>市场。</w:t>
      </w:r>
      <w:r>
        <w:rPr>
          <w:rFonts w:hint="eastAsia" w:ascii="仿宋_GB2312" w:hAnsi="仿宋_GB2312" w:eastAsia="仿宋_GB2312" w:cs="仿宋_GB2312"/>
          <w:color w:val="auto"/>
          <w:sz w:val="32"/>
          <w:szCs w:val="32"/>
          <w:lang w:val="zh-CN"/>
        </w:rPr>
        <w:t>对企业参加境内外政府指令性展会（</w:t>
      </w:r>
      <w:r>
        <w:rPr>
          <w:rFonts w:hint="eastAsia" w:ascii="仿宋_GB2312" w:hAnsi="仿宋_GB2312" w:eastAsia="仿宋_GB2312" w:cs="仿宋_GB2312"/>
          <w:color w:val="auto"/>
          <w:sz w:val="32"/>
          <w:szCs w:val="32"/>
          <w:lang w:val="en-US" w:eastAsia="zh-CN"/>
        </w:rPr>
        <w:t>含线上展</w:t>
      </w:r>
      <w:r>
        <w:rPr>
          <w:rFonts w:hint="eastAsia" w:ascii="仿宋_GB2312" w:hAnsi="仿宋_GB2312" w:eastAsia="仿宋_GB2312" w:cs="仿宋_GB2312"/>
          <w:color w:val="auto"/>
          <w:sz w:val="32"/>
          <w:szCs w:val="32"/>
          <w:lang w:val="zh-CN"/>
        </w:rPr>
        <w:t>）最高给予实际支付的展位费全额补助（</w:t>
      </w:r>
      <w:r>
        <w:rPr>
          <w:rFonts w:hint="eastAsia" w:ascii="仿宋_GB2312" w:hAnsi="仿宋_GB2312" w:eastAsia="仿宋_GB2312" w:cs="仿宋_GB2312"/>
          <w:color w:val="auto"/>
          <w:sz w:val="32"/>
          <w:szCs w:val="32"/>
          <w:lang w:val="en-US" w:eastAsia="zh-CN"/>
        </w:rPr>
        <w:t>对外贸企业参加内销展会同样给予相应展位费全额补助</w:t>
      </w:r>
      <w:r>
        <w:rPr>
          <w:rFonts w:hint="eastAsia" w:ascii="仿宋_GB2312" w:hAnsi="仿宋_GB2312" w:eastAsia="仿宋_GB2312" w:cs="仿宋_GB2312"/>
          <w:color w:val="auto"/>
          <w:sz w:val="32"/>
          <w:szCs w:val="32"/>
          <w:lang w:val="zh-CN"/>
        </w:rPr>
        <w:t>），</w:t>
      </w:r>
      <w:r>
        <w:rPr>
          <w:rFonts w:hint="eastAsia" w:ascii="仿宋_GB2312" w:eastAsia="仿宋_GB2312" w:cs="仿宋_GB2312"/>
          <w:sz w:val="32"/>
          <w:szCs w:val="32"/>
          <w:highlight w:val="none"/>
          <w:lang w:val="zh-CN"/>
        </w:rPr>
        <w:t>单家企业全年最高补助30万元</w:t>
      </w:r>
      <w:r>
        <w:rPr>
          <w:rFonts w:hint="eastAsia" w:ascii="仿宋_GB2312" w:hAnsi="仿宋_GB2312" w:eastAsia="仿宋_GB2312" w:cs="仿宋_GB2312"/>
          <w:color w:val="auto"/>
          <w:sz w:val="32"/>
          <w:szCs w:val="32"/>
          <w:lang w:val="zh-CN"/>
        </w:rPr>
        <w:t>。</w:t>
      </w:r>
      <w:r>
        <w:rPr>
          <w:rFonts w:hint="eastAsia" w:ascii="仿宋_GB2312" w:eastAsia="仿宋_GB2312" w:cs="仿宋_GB2312"/>
          <w:color w:val="auto"/>
          <w:sz w:val="32"/>
          <w:szCs w:val="32"/>
          <w:lang w:val="zh-CN"/>
        </w:rPr>
        <w:t>生产型企业和年出口额超1</w:t>
      </w:r>
      <w:r>
        <w:rPr>
          <w:rFonts w:hint="eastAsia" w:ascii="仿宋_GB2312" w:eastAsia="仿宋_GB2312" w:cs="仿宋_GB2312"/>
          <w:color w:val="auto"/>
          <w:sz w:val="32"/>
          <w:szCs w:val="32"/>
          <w:lang w:val="en-US" w:eastAsia="zh-CN"/>
        </w:rPr>
        <w:t>亿</w:t>
      </w:r>
      <w:r>
        <w:rPr>
          <w:rFonts w:hint="eastAsia" w:ascii="仿宋_GB2312" w:eastAsia="仿宋_GB2312" w:cs="仿宋_GB2312"/>
          <w:color w:val="auto"/>
          <w:sz w:val="32"/>
          <w:szCs w:val="32"/>
          <w:lang w:val="zh-CN"/>
        </w:rPr>
        <w:t>元（含）的流通型外贸企业，以联营方式参加广交会，对联营展位的每个标摊给予不高于</w:t>
      </w:r>
      <w:r>
        <w:rPr>
          <w:rFonts w:ascii="仿宋_GB2312" w:eastAsia="仿宋_GB2312" w:cs="仿宋_GB2312"/>
          <w:color w:val="auto"/>
          <w:sz w:val="32"/>
          <w:szCs w:val="32"/>
          <w:lang w:val="zh-CN"/>
        </w:rPr>
        <w:t>2</w:t>
      </w:r>
      <w:r>
        <w:rPr>
          <w:rFonts w:hint="eastAsia" w:ascii="仿宋_GB2312" w:eastAsia="仿宋_GB2312" w:cs="仿宋_GB2312"/>
          <w:color w:val="auto"/>
          <w:sz w:val="32"/>
          <w:szCs w:val="32"/>
          <w:lang w:val="zh-CN"/>
        </w:rPr>
        <w:t>万元的补助，每家企业全年最多累计补助4个展位。</w:t>
      </w:r>
    </w:p>
    <w:p>
      <w:pPr>
        <w:tabs>
          <w:tab w:val="left" w:pos="0"/>
          <w:tab w:val="left" w:pos="1440"/>
        </w:tabs>
        <w:autoSpaceDE w:val="0"/>
        <w:autoSpaceDN w:val="0"/>
        <w:adjustRightInd w:val="0"/>
        <w:spacing w:line="580" w:lineRule="exact"/>
        <w:ind w:firstLine="627"/>
        <w:rPr>
          <w:rFonts w:ascii="仿宋_GB2312" w:hAnsi="仿宋_GB2312" w:eastAsia="仿宋_GB2312" w:cs="仿宋_GB2312"/>
          <w:color w:val="auto"/>
          <w:sz w:val="32"/>
          <w:szCs w:val="32"/>
        </w:rPr>
      </w:pPr>
      <w:r>
        <w:rPr>
          <w:rFonts w:hint="eastAsia" w:ascii="楷体_GB2312" w:eastAsia="楷体_GB2312" w:cs="楷体_GB2312"/>
          <w:color w:val="auto"/>
          <w:sz w:val="32"/>
          <w:szCs w:val="32"/>
          <w:lang w:val="en-US" w:eastAsia="zh-CN"/>
        </w:rPr>
        <w:t>9</w:t>
      </w:r>
      <w:r>
        <w:rPr>
          <w:rFonts w:hint="eastAsia" w:ascii="楷体_GB2312" w:eastAsia="楷体_GB2312" w:cs="楷体_GB2312"/>
          <w:color w:val="auto"/>
          <w:sz w:val="32"/>
          <w:szCs w:val="32"/>
        </w:rPr>
        <w:t xml:space="preserve">. </w:t>
      </w:r>
      <w:r>
        <w:rPr>
          <w:rFonts w:hint="eastAsia" w:ascii="楷体_GB2312" w:eastAsia="楷体_GB2312" w:cs="楷体_GB2312"/>
          <w:color w:val="auto"/>
          <w:sz w:val="32"/>
          <w:szCs w:val="32"/>
          <w:lang w:val="zh-CN"/>
        </w:rPr>
        <w:t>鼓励参加出口名牌申报，</w:t>
      </w:r>
      <w:r>
        <w:rPr>
          <w:rFonts w:hint="eastAsia" w:ascii="楷体_GB2312" w:eastAsia="楷体_GB2312" w:cs="楷体_GB2312"/>
          <w:color w:val="auto"/>
          <w:sz w:val="32"/>
          <w:szCs w:val="32"/>
        </w:rPr>
        <w:t>培育企业自主品牌</w:t>
      </w:r>
      <w:r>
        <w:rPr>
          <w:rFonts w:hint="eastAsia" w:ascii="楷体_GB2312" w:eastAsia="楷体_GB2312" w:cs="楷体_GB2312"/>
          <w:color w:val="auto"/>
          <w:sz w:val="32"/>
          <w:szCs w:val="32"/>
          <w:lang w:val="zh-CN"/>
        </w:rPr>
        <w:t>。</w:t>
      </w:r>
      <w:r>
        <w:rPr>
          <w:rFonts w:hint="eastAsia" w:ascii="仿宋_GB2312" w:hAnsi="仿宋_GB2312" w:eastAsia="仿宋_GB2312" w:cs="仿宋_GB2312"/>
          <w:color w:val="auto"/>
          <w:sz w:val="32"/>
          <w:szCs w:val="32"/>
        </w:rPr>
        <w:t>对当年新入选宁波市和浙江省出口名牌的自主品牌企业，分别一次性按每个品牌最高不超过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万元和</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万元的标准给予企业创牌补助。</w:t>
      </w:r>
    </w:p>
    <w:p>
      <w:pPr>
        <w:autoSpaceDE w:val="0"/>
        <w:autoSpaceDN w:val="0"/>
        <w:adjustRightInd w:val="0"/>
        <w:spacing w:line="580" w:lineRule="exact"/>
        <w:ind w:firstLine="640" w:firstLineChars="200"/>
        <w:rPr>
          <w:rFonts w:ascii="黑体" w:eastAsia="黑体" w:cs="黑体"/>
          <w:color w:val="auto"/>
          <w:sz w:val="32"/>
          <w:szCs w:val="32"/>
          <w:lang w:val="zh-CN"/>
        </w:rPr>
      </w:pPr>
      <w:r>
        <w:rPr>
          <w:rFonts w:hint="eastAsia" w:ascii="黑体" w:eastAsia="黑体" w:cs="黑体"/>
          <w:color w:val="auto"/>
          <w:sz w:val="32"/>
          <w:szCs w:val="32"/>
          <w:lang w:val="zh-CN"/>
        </w:rPr>
        <w:t>二、</w:t>
      </w:r>
      <w:r>
        <w:rPr>
          <w:rFonts w:hint="eastAsia" w:ascii="黑体" w:eastAsia="黑体" w:cs="黑体"/>
          <w:color w:val="auto"/>
          <w:sz w:val="32"/>
          <w:szCs w:val="32"/>
        </w:rPr>
        <w:t>引导</w:t>
      </w:r>
      <w:r>
        <w:rPr>
          <w:rFonts w:hint="eastAsia" w:ascii="黑体" w:eastAsia="黑体" w:cs="黑体"/>
          <w:color w:val="auto"/>
          <w:sz w:val="32"/>
          <w:szCs w:val="32"/>
          <w:lang w:val="zh-CN"/>
        </w:rPr>
        <w:t>境外投资，</w:t>
      </w:r>
      <w:r>
        <w:rPr>
          <w:rFonts w:hint="eastAsia" w:ascii="黑体" w:eastAsia="黑体" w:cs="黑体"/>
          <w:color w:val="auto"/>
          <w:sz w:val="32"/>
          <w:szCs w:val="32"/>
        </w:rPr>
        <w:t>发展境外工程</w:t>
      </w:r>
      <w:r>
        <w:rPr>
          <w:rFonts w:hint="eastAsia" w:ascii="黑体" w:eastAsia="黑体" w:cs="黑体"/>
          <w:color w:val="auto"/>
          <w:sz w:val="32"/>
          <w:szCs w:val="32"/>
          <w:lang w:val="en-US" w:eastAsia="zh-CN"/>
        </w:rPr>
        <w:t>业务</w:t>
      </w:r>
      <w:r>
        <w:rPr>
          <w:rFonts w:hint="eastAsia" w:ascii="黑体" w:eastAsia="黑体" w:cs="黑体"/>
          <w:color w:val="auto"/>
          <w:sz w:val="32"/>
          <w:szCs w:val="32"/>
          <w:lang w:val="zh-CN"/>
        </w:rPr>
        <w:t>，</w:t>
      </w:r>
      <w:r>
        <w:rPr>
          <w:rFonts w:hint="eastAsia" w:ascii="黑体" w:eastAsia="黑体" w:cs="黑体"/>
          <w:color w:val="auto"/>
          <w:sz w:val="32"/>
          <w:szCs w:val="32"/>
        </w:rPr>
        <w:t>提升</w:t>
      </w:r>
      <w:r>
        <w:rPr>
          <w:rFonts w:hint="eastAsia" w:ascii="黑体" w:eastAsia="黑体" w:cs="黑体"/>
          <w:color w:val="auto"/>
          <w:sz w:val="32"/>
          <w:szCs w:val="32"/>
          <w:lang w:val="zh-CN"/>
        </w:rPr>
        <w:t>对外合作</w:t>
      </w:r>
      <w:r>
        <w:rPr>
          <w:rFonts w:hint="eastAsia" w:ascii="黑体" w:eastAsia="黑体" w:cs="黑体"/>
          <w:color w:val="auto"/>
          <w:sz w:val="32"/>
          <w:szCs w:val="32"/>
        </w:rPr>
        <w:t>能级</w:t>
      </w:r>
    </w:p>
    <w:p>
      <w:pPr>
        <w:tabs>
          <w:tab w:val="left" w:pos="0"/>
        </w:tabs>
        <w:autoSpaceDE w:val="0"/>
        <w:autoSpaceDN w:val="0"/>
        <w:adjustRightInd w:val="0"/>
        <w:spacing w:line="580" w:lineRule="exact"/>
        <w:ind w:firstLine="640" w:firstLineChars="200"/>
        <w:rPr>
          <w:rFonts w:hint="eastAsia"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 xml:space="preserve">10. </w:t>
      </w:r>
      <w:r>
        <w:rPr>
          <w:rFonts w:hint="eastAsia" w:ascii="楷体_GB2312" w:eastAsia="楷体_GB2312" w:cs="楷体_GB2312"/>
          <w:color w:val="auto"/>
          <w:sz w:val="32"/>
          <w:szCs w:val="32"/>
          <w:lang w:val="zh-CN"/>
        </w:rPr>
        <w:t>强化海外投资和经营的风险防控。</w:t>
      </w:r>
      <w:r>
        <w:rPr>
          <w:rFonts w:hint="eastAsia" w:ascii="仿宋_GB2312" w:eastAsia="仿宋_GB2312" w:cs="仿宋_GB2312"/>
          <w:color w:val="auto"/>
          <w:sz w:val="32"/>
          <w:szCs w:val="32"/>
          <w:lang w:val="zh-CN"/>
        </w:rPr>
        <w:t>对企业投保海外投资保险的保费，给予最高不超过50%的补助，对单家企业的补助金额最高不超过30万元。</w:t>
      </w:r>
    </w:p>
    <w:p>
      <w:pPr>
        <w:tabs>
          <w:tab w:val="left" w:pos="0"/>
        </w:tabs>
        <w:autoSpaceDE w:val="0"/>
        <w:autoSpaceDN w:val="0"/>
        <w:adjustRightInd w:val="0"/>
        <w:spacing w:line="580" w:lineRule="exact"/>
        <w:ind w:firstLine="640" w:firstLineChars="200"/>
        <w:rPr>
          <w:rFonts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 xml:space="preserve">11. </w:t>
      </w:r>
      <w:r>
        <w:rPr>
          <w:rFonts w:hint="eastAsia" w:ascii="楷体_GB2312" w:eastAsia="楷体_GB2312" w:cs="楷体_GB2312"/>
          <w:color w:val="auto"/>
          <w:sz w:val="32"/>
          <w:szCs w:val="32"/>
        </w:rPr>
        <w:t>有序规范</w:t>
      </w:r>
      <w:r>
        <w:rPr>
          <w:rFonts w:hint="eastAsia" w:ascii="楷体_GB2312" w:eastAsia="楷体_GB2312" w:cs="楷体_GB2312"/>
          <w:color w:val="auto"/>
          <w:sz w:val="32"/>
          <w:szCs w:val="32"/>
          <w:lang w:val="zh-CN"/>
        </w:rPr>
        <w:t>境外企业投资。</w:t>
      </w:r>
      <w:r>
        <w:rPr>
          <w:rFonts w:hint="eastAsia" w:ascii="仿宋_GB2312" w:eastAsia="仿宋_GB2312" w:cs="仿宋_GB2312"/>
          <w:color w:val="auto"/>
          <w:sz w:val="32"/>
          <w:szCs w:val="32"/>
          <w:lang w:val="zh-CN"/>
        </w:rPr>
        <w:t>对经批复设立境外项目，当年新增中方核准备案资金超过500万、1000万、3000万和5000万美元，分别给予最高一次性奖励0.5万元、1万元、3万元和5万元。每家企业当年累计奖励限额为2</w:t>
      </w:r>
      <w:r>
        <w:rPr>
          <w:rFonts w:ascii="仿宋_GB2312" w:eastAsia="仿宋_GB2312" w:cs="仿宋_GB2312"/>
          <w:color w:val="auto"/>
          <w:sz w:val="32"/>
          <w:szCs w:val="32"/>
          <w:lang w:val="zh-CN"/>
        </w:rPr>
        <w:t>0</w:t>
      </w:r>
      <w:r>
        <w:rPr>
          <w:rFonts w:hint="eastAsia" w:ascii="仿宋_GB2312" w:eastAsia="仿宋_GB2312" w:cs="仿宋_GB2312"/>
          <w:color w:val="auto"/>
          <w:sz w:val="32"/>
          <w:szCs w:val="32"/>
          <w:lang w:val="zh-CN"/>
        </w:rPr>
        <w:t xml:space="preserve">万元。 </w:t>
      </w:r>
    </w:p>
    <w:p>
      <w:pPr>
        <w:autoSpaceDE w:val="0"/>
        <w:autoSpaceDN w:val="0"/>
        <w:adjustRightInd w:val="0"/>
        <w:spacing w:line="580" w:lineRule="exact"/>
        <w:ind w:firstLine="627"/>
        <w:rPr>
          <w:rFonts w:hint="eastAsia"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 xml:space="preserve">12. </w:t>
      </w:r>
      <w:r>
        <w:rPr>
          <w:rFonts w:hint="eastAsia" w:ascii="楷体_GB2312" w:eastAsia="楷体_GB2312" w:cs="楷体_GB2312"/>
          <w:color w:val="auto"/>
          <w:sz w:val="32"/>
          <w:szCs w:val="32"/>
          <w:lang w:val="zh-CN"/>
        </w:rPr>
        <w:t>大力支持境外工程承包。</w:t>
      </w:r>
      <w:r>
        <w:rPr>
          <w:rFonts w:hint="eastAsia" w:ascii="仿宋_GB2312" w:eastAsia="仿宋_GB2312" w:cs="仿宋_GB2312"/>
          <w:color w:val="auto"/>
          <w:sz w:val="32"/>
          <w:szCs w:val="32"/>
          <w:lang w:val="zh-CN"/>
        </w:rPr>
        <w:t>对企业当年新增境外工程承包营业额每</w:t>
      </w:r>
      <w:r>
        <w:rPr>
          <w:rFonts w:ascii="仿宋_GB2312" w:eastAsia="仿宋_GB2312" w:cs="仿宋_GB2312"/>
          <w:color w:val="auto"/>
          <w:sz w:val="32"/>
          <w:szCs w:val="32"/>
          <w:lang w:val="zh-CN"/>
        </w:rPr>
        <w:t>100</w:t>
      </w:r>
      <w:r>
        <w:rPr>
          <w:rFonts w:hint="eastAsia" w:ascii="仿宋_GB2312" w:eastAsia="仿宋_GB2312" w:cs="仿宋_GB2312"/>
          <w:color w:val="auto"/>
          <w:sz w:val="32"/>
          <w:szCs w:val="32"/>
          <w:lang w:val="zh-CN"/>
        </w:rPr>
        <w:t>万美元最高奖励0.5万元。每家企业最高奖励2</w:t>
      </w:r>
      <w:r>
        <w:rPr>
          <w:rFonts w:ascii="仿宋_GB2312" w:eastAsia="仿宋_GB2312" w:cs="仿宋_GB2312"/>
          <w:color w:val="auto"/>
          <w:sz w:val="32"/>
          <w:szCs w:val="32"/>
          <w:lang w:val="zh-CN"/>
        </w:rPr>
        <w:t>0</w:t>
      </w:r>
      <w:r>
        <w:rPr>
          <w:rFonts w:hint="eastAsia" w:ascii="仿宋_GB2312" w:eastAsia="仿宋_GB2312" w:cs="仿宋_GB2312"/>
          <w:color w:val="auto"/>
          <w:sz w:val="32"/>
          <w:szCs w:val="32"/>
          <w:lang w:val="zh-CN"/>
        </w:rPr>
        <w:t>万元。对当年新增取得对外工程承包资质的企业，其缴存的对外劳务合作风险处置备用金,给与一次性5万元的贴息补助。</w:t>
      </w:r>
    </w:p>
    <w:p>
      <w:pPr>
        <w:autoSpaceDE w:val="0"/>
        <w:autoSpaceDN w:val="0"/>
        <w:adjustRightInd w:val="0"/>
        <w:spacing w:line="580" w:lineRule="exact"/>
        <w:ind w:firstLine="640" w:firstLineChars="200"/>
        <w:rPr>
          <w:rFonts w:ascii="黑体" w:eastAsia="黑体" w:cs="黑体"/>
          <w:color w:val="auto"/>
          <w:sz w:val="32"/>
          <w:szCs w:val="32"/>
        </w:rPr>
      </w:pPr>
      <w:r>
        <w:rPr>
          <w:rFonts w:hint="eastAsia" w:ascii="黑体" w:eastAsia="黑体" w:cs="黑体"/>
          <w:color w:val="auto"/>
          <w:sz w:val="32"/>
          <w:szCs w:val="32"/>
        </w:rPr>
        <w:t>三、融入“一带一路”，加强企业培育，做大做强中东欧贸易</w:t>
      </w:r>
    </w:p>
    <w:p>
      <w:pPr>
        <w:autoSpaceDE w:val="0"/>
        <w:autoSpaceDN w:val="0"/>
        <w:adjustRightInd w:val="0"/>
        <w:spacing w:line="580" w:lineRule="exact"/>
        <w:ind w:firstLine="640"/>
        <w:rPr>
          <w:rFonts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 xml:space="preserve">13. </w:t>
      </w:r>
      <w:r>
        <w:rPr>
          <w:rFonts w:hint="eastAsia" w:ascii="楷体_GB2312" w:eastAsia="楷体_GB2312" w:cs="楷体_GB2312"/>
          <w:color w:val="auto"/>
          <w:sz w:val="32"/>
          <w:szCs w:val="32"/>
          <w:lang w:val="zh-CN"/>
        </w:rPr>
        <w:t>鼓励引进大型中东欧贸易企业。</w:t>
      </w:r>
      <w:r>
        <w:rPr>
          <w:rFonts w:hint="eastAsia" w:ascii="仿宋_GB2312" w:eastAsia="仿宋_GB2312" w:cs="仿宋_GB2312"/>
          <w:color w:val="auto"/>
          <w:sz w:val="32"/>
          <w:szCs w:val="32"/>
          <w:lang w:val="zh-CN"/>
        </w:rPr>
        <w:t>对新引进外贸企业，两年内（按注册之日起计算）对中东欧进出口额累计分别达到</w:t>
      </w:r>
      <w:r>
        <w:rPr>
          <w:rFonts w:ascii="仿宋_GB2312" w:eastAsia="仿宋_GB2312" w:cs="仿宋_GB2312"/>
          <w:color w:val="auto"/>
          <w:sz w:val="32"/>
          <w:szCs w:val="32"/>
        </w:rPr>
        <w:t>0.</w:t>
      </w: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rPr>
        <w:t>亿</w:t>
      </w:r>
      <w:r>
        <w:rPr>
          <w:rFonts w:hint="eastAsia" w:ascii="仿宋_GB2312" w:eastAsia="仿宋_GB2312" w:cs="仿宋_GB2312"/>
          <w:color w:val="auto"/>
          <w:sz w:val="32"/>
          <w:szCs w:val="32"/>
          <w:lang w:val="zh-CN"/>
        </w:rPr>
        <w:t>元、</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lang w:val="zh-CN"/>
        </w:rPr>
        <w:t>亿元、</w:t>
      </w:r>
      <w:r>
        <w:rPr>
          <w:rFonts w:ascii="仿宋_GB2312" w:eastAsia="仿宋_GB2312" w:cs="仿宋_GB2312"/>
          <w:color w:val="auto"/>
          <w:sz w:val="32"/>
          <w:szCs w:val="32"/>
          <w:lang w:val="zh-CN"/>
        </w:rPr>
        <w:t>1.5</w:t>
      </w:r>
      <w:r>
        <w:rPr>
          <w:rFonts w:hint="eastAsia" w:ascii="仿宋_GB2312" w:eastAsia="仿宋_GB2312" w:cs="仿宋_GB2312"/>
          <w:color w:val="auto"/>
          <w:sz w:val="32"/>
          <w:szCs w:val="32"/>
          <w:lang w:val="zh-CN"/>
        </w:rPr>
        <w:t>亿元、</w:t>
      </w:r>
      <w:r>
        <w:rPr>
          <w:rFonts w:ascii="仿宋_GB2312" w:eastAsia="仿宋_GB2312" w:cs="仿宋_GB2312"/>
          <w:color w:val="auto"/>
          <w:sz w:val="32"/>
          <w:szCs w:val="32"/>
          <w:lang w:val="zh-CN"/>
        </w:rPr>
        <w:t>3</w:t>
      </w:r>
      <w:r>
        <w:rPr>
          <w:rFonts w:hint="eastAsia" w:ascii="仿宋_GB2312" w:eastAsia="仿宋_GB2312" w:cs="仿宋_GB2312"/>
          <w:color w:val="auto"/>
          <w:sz w:val="32"/>
          <w:szCs w:val="32"/>
          <w:lang w:val="zh-CN"/>
        </w:rPr>
        <w:t>亿元的，分别给予最高</w:t>
      </w:r>
      <w:r>
        <w:rPr>
          <w:rFonts w:ascii="仿宋_GB2312" w:eastAsia="仿宋_GB2312" w:cs="仿宋_GB2312"/>
          <w:color w:val="auto"/>
          <w:sz w:val="32"/>
          <w:szCs w:val="32"/>
          <w:lang w:val="zh-CN"/>
        </w:rPr>
        <w:t>5</w:t>
      </w:r>
      <w:r>
        <w:rPr>
          <w:rFonts w:hint="eastAsia" w:ascii="仿宋_GB2312" w:eastAsia="仿宋_GB2312" w:cs="仿宋_GB2312"/>
          <w:color w:val="auto"/>
          <w:sz w:val="32"/>
          <w:szCs w:val="32"/>
          <w:lang w:val="zh-CN"/>
        </w:rPr>
        <w:t>万、</w:t>
      </w:r>
      <w:r>
        <w:rPr>
          <w:rFonts w:ascii="仿宋_GB2312" w:eastAsia="仿宋_GB2312" w:cs="仿宋_GB2312"/>
          <w:color w:val="auto"/>
          <w:sz w:val="32"/>
          <w:szCs w:val="32"/>
          <w:lang w:val="zh-CN"/>
        </w:rPr>
        <w:t>1</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lang w:val="zh-CN"/>
        </w:rPr>
        <w:t>万、</w:t>
      </w:r>
      <w:r>
        <w:rPr>
          <w:rFonts w:hint="eastAsia" w:ascii="仿宋_GB2312" w:eastAsia="仿宋_GB2312" w:cs="仿宋_GB2312"/>
          <w:color w:val="auto"/>
          <w:sz w:val="32"/>
          <w:szCs w:val="32"/>
          <w:lang w:val="en-US" w:eastAsia="zh-CN"/>
        </w:rPr>
        <w:t>1</w:t>
      </w:r>
      <w:r>
        <w:rPr>
          <w:rFonts w:ascii="仿宋_GB2312" w:eastAsia="仿宋_GB2312" w:cs="仿宋_GB2312"/>
          <w:color w:val="auto"/>
          <w:sz w:val="32"/>
          <w:szCs w:val="32"/>
          <w:lang w:val="zh-CN"/>
        </w:rPr>
        <w:t>5</w:t>
      </w:r>
      <w:r>
        <w:rPr>
          <w:rFonts w:hint="eastAsia" w:ascii="仿宋_GB2312" w:eastAsia="仿宋_GB2312" w:cs="仿宋_GB2312"/>
          <w:color w:val="auto"/>
          <w:sz w:val="32"/>
          <w:szCs w:val="32"/>
          <w:lang w:val="zh-CN"/>
        </w:rPr>
        <w:t>万元和</w:t>
      </w:r>
      <w:r>
        <w:rPr>
          <w:rFonts w:hint="eastAsia" w:ascii="仿宋_GB2312" w:eastAsia="仿宋_GB2312" w:cs="仿宋_GB2312"/>
          <w:color w:val="auto"/>
          <w:sz w:val="32"/>
          <w:szCs w:val="32"/>
          <w:lang w:val="en-US" w:eastAsia="zh-CN"/>
        </w:rPr>
        <w:t>3</w:t>
      </w:r>
      <w:r>
        <w:rPr>
          <w:rFonts w:ascii="仿宋_GB2312" w:eastAsia="仿宋_GB2312" w:cs="仿宋_GB2312"/>
          <w:color w:val="auto"/>
          <w:sz w:val="32"/>
          <w:szCs w:val="32"/>
          <w:lang w:val="zh-CN"/>
        </w:rPr>
        <w:t>0</w:t>
      </w:r>
      <w:r>
        <w:rPr>
          <w:rFonts w:hint="eastAsia" w:ascii="仿宋_GB2312" w:eastAsia="仿宋_GB2312" w:cs="仿宋_GB2312"/>
          <w:color w:val="auto"/>
          <w:sz w:val="32"/>
          <w:szCs w:val="32"/>
          <w:lang w:val="zh-CN"/>
        </w:rPr>
        <w:t>万元的奖励（第二年达到高一档次奖励标准的，减去第一年已得奖励额后给予差额部分）。</w:t>
      </w:r>
      <w:r>
        <w:rPr>
          <w:rFonts w:ascii="仿宋_GB2312" w:eastAsia="仿宋_GB2312" w:cs="仿宋_GB2312"/>
          <w:color w:val="auto"/>
          <w:sz w:val="32"/>
          <w:szCs w:val="32"/>
          <w:lang w:val="zh-CN"/>
        </w:rPr>
        <w:t xml:space="preserve"> </w:t>
      </w:r>
    </w:p>
    <w:p>
      <w:pPr>
        <w:autoSpaceDE w:val="0"/>
        <w:autoSpaceDN w:val="0"/>
        <w:adjustRightInd w:val="0"/>
        <w:spacing w:line="580" w:lineRule="exact"/>
        <w:ind w:firstLine="640"/>
        <w:rPr>
          <w:rFonts w:ascii="仿宋_GB2312" w:eastAsia="仿宋_GB2312" w:cs="仿宋_GB2312"/>
          <w:color w:val="auto"/>
          <w:sz w:val="32"/>
          <w:szCs w:val="32"/>
          <w:lang w:val="zh-CN"/>
        </w:rPr>
      </w:pPr>
      <w:r>
        <w:rPr>
          <w:rFonts w:hint="eastAsia" w:ascii="仿宋_GB2312" w:eastAsia="仿宋_GB2312" w:cs="仿宋_GB2312"/>
          <w:color w:val="auto"/>
          <w:sz w:val="32"/>
          <w:szCs w:val="32"/>
          <w:lang w:val="en-US" w:eastAsia="zh-CN"/>
        </w:rPr>
        <w:t xml:space="preserve">14. </w:t>
      </w:r>
      <w:r>
        <w:rPr>
          <w:rFonts w:hint="eastAsia" w:ascii="楷体_GB2312" w:eastAsia="楷体_GB2312" w:cs="楷体_GB2312"/>
          <w:color w:val="auto"/>
          <w:sz w:val="32"/>
          <w:szCs w:val="32"/>
          <w:lang w:val="zh-CN"/>
        </w:rPr>
        <w:t>支持我区企业扩大中东欧商品进口规模。</w:t>
      </w:r>
      <w:r>
        <w:rPr>
          <w:rFonts w:hint="eastAsia" w:ascii="仿宋_GB2312" w:hAnsi="仿宋_GB2312" w:eastAsia="仿宋_GB2312" w:cs="仿宋_GB2312"/>
          <w:color w:val="auto"/>
          <w:sz w:val="32"/>
          <w:szCs w:val="32"/>
          <w:lang w:val="zh-CN"/>
        </w:rPr>
        <w:t>原有企业（注册两年以上），</w:t>
      </w:r>
      <w:r>
        <w:rPr>
          <w:rFonts w:hint="eastAsia" w:ascii="仿宋_GB2312" w:eastAsia="仿宋_GB2312" w:cs="仿宋_GB2312"/>
          <w:color w:val="auto"/>
          <w:sz w:val="32"/>
          <w:szCs w:val="32"/>
          <w:lang w:val="zh-CN"/>
        </w:rPr>
        <w:t>当年进出口额达</w:t>
      </w:r>
      <w:r>
        <w:rPr>
          <w:rFonts w:ascii="仿宋_GB2312" w:eastAsia="仿宋_GB2312" w:cs="仿宋_GB2312"/>
          <w:color w:val="auto"/>
          <w:sz w:val="32"/>
          <w:szCs w:val="32"/>
          <w:lang w:val="zh-CN"/>
        </w:rPr>
        <w:t>2000</w:t>
      </w:r>
      <w:r>
        <w:rPr>
          <w:rFonts w:hint="eastAsia" w:ascii="仿宋_GB2312" w:eastAsia="仿宋_GB2312" w:cs="仿宋_GB2312"/>
          <w:color w:val="auto"/>
          <w:sz w:val="32"/>
          <w:szCs w:val="32"/>
          <w:lang w:val="zh-CN"/>
        </w:rPr>
        <w:t>万元以上（含），进口中东欧商品的，以前二年中东欧商品进口平均值为基数（前一年未发生实际进口的，以上一年进口额为基数），超基数部分每</w:t>
      </w:r>
      <w:r>
        <w:rPr>
          <w:rFonts w:ascii="仿宋_GB2312" w:eastAsia="仿宋_GB2312" w:cs="仿宋_GB2312"/>
          <w:color w:val="auto"/>
          <w:sz w:val="32"/>
          <w:szCs w:val="32"/>
          <w:lang w:val="zh-CN"/>
        </w:rPr>
        <w:t>200</w:t>
      </w:r>
      <w:r>
        <w:rPr>
          <w:rFonts w:hint="eastAsia" w:ascii="仿宋_GB2312" w:eastAsia="仿宋_GB2312" w:cs="仿宋_GB2312"/>
          <w:color w:val="auto"/>
          <w:sz w:val="32"/>
          <w:szCs w:val="32"/>
          <w:lang w:val="zh-CN"/>
        </w:rPr>
        <w:t>万元最高奖励</w:t>
      </w:r>
      <w:r>
        <w:rPr>
          <w:rFonts w:ascii="仿宋_GB2312" w:eastAsia="仿宋_GB2312" w:cs="仿宋_GB2312"/>
          <w:color w:val="auto"/>
          <w:sz w:val="32"/>
          <w:szCs w:val="32"/>
          <w:lang w:val="zh-CN"/>
        </w:rPr>
        <w:t>0.2</w:t>
      </w:r>
      <w:r>
        <w:rPr>
          <w:rFonts w:hint="eastAsia" w:ascii="仿宋_GB2312" w:eastAsia="仿宋_GB2312" w:cs="仿宋_GB2312"/>
          <w:color w:val="auto"/>
          <w:sz w:val="32"/>
          <w:szCs w:val="32"/>
          <w:lang w:val="zh-CN"/>
        </w:rPr>
        <w:t>万元。每家企业全年最高奖励额为</w:t>
      </w:r>
      <w:r>
        <w:rPr>
          <w:rFonts w:ascii="仿宋_GB2312" w:eastAsia="仿宋_GB2312" w:cs="仿宋_GB2312"/>
          <w:color w:val="auto"/>
          <w:sz w:val="32"/>
          <w:szCs w:val="32"/>
          <w:lang w:val="zh-CN"/>
        </w:rPr>
        <w:t>15</w:t>
      </w:r>
      <w:r>
        <w:rPr>
          <w:rFonts w:hint="eastAsia" w:ascii="仿宋_GB2312" w:eastAsia="仿宋_GB2312" w:cs="仿宋_GB2312"/>
          <w:color w:val="auto"/>
          <w:sz w:val="32"/>
          <w:szCs w:val="32"/>
          <w:lang w:val="zh-CN"/>
        </w:rPr>
        <w:t>万元。</w:t>
      </w:r>
    </w:p>
    <w:p>
      <w:pPr>
        <w:autoSpaceDE w:val="0"/>
        <w:autoSpaceDN w:val="0"/>
        <w:adjustRightInd w:val="0"/>
        <w:spacing w:line="580" w:lineRule="exact"/>
        <w:ind w:firstLine="640" w:firstLineChars="200"/>
        <w:rPr>
          <w:rFonts w:hint="eastAsia" w:ascii="仿宋_GB2312" w:eastAsia="仿宋_GB2312" w:cs="仿宋_GB2312"/>
          <w:color w:val="auto"/>
          <w:sz w:val="32"/>
          <w:szCs w:val="32"/>
          <w:lang w:val="zh-CN"/>
        </w:rPr>
      </w:pPr>
      <w:r>
        <w:rPr>
          <w:rFonts w:hint="eastAsia" w:ascii="楷体_GB2312" w:eastAsia="楷体_GB2312" w:cs="楷体_GB2312"/>
          <w:color w:val="auto"/>
          <w:sz w:val="32"/>
          <w:szCs w:val="32"/>
          <w:lang w:val="en-US" w:eastAsia="zh-CN"/>
        </w:rPr>
        <w:t xml:space="preserve">15. </w:t>
      </w:r>
      <w:r>
        <w:rPr>
          <w:rFonts w:hint="eastAsia" w:ascii="楷体_GB2312" w:eastAsia="楷体_GB2312" w:cs="楷体_GB2312"/>
          <w:color w:val="auto"/>
          <w:sz w:val="32"/>
          <w:szCs w:val="32"/>
        </w:rPr>
        <w:t>鼓励引进中东欧国家外资项目。</w:t>
      </w:r>
      <w:r>
        <w:rPr>
          <w:rFonts w:hint="eastAsia" w:ascii="仿宋_GB2312" w:eastAsia="仿宋_GB2312" w:cs="仿宋_GB2312"/>
          <w:color w:val="auto"/>
          <w:sz w:val="32"/>
          <w:szCs w:val="32"/>
          <w:lang w:val="zh-CN"/>
        </w:rPr>
        <w:t>对于经备案的中东欧国家在我区的投资项目，全年实到外资达到</w:t>
      </w:r>
      <w:r>
        <w:rPr>
          <w:rFonts w:ascii="仿宋_GB2312" w:eastAsia="仿宋_GB2312" w:cs="仿宋_GB2312"/>
          <w:color w:val="auto"/>
          <w:sz w:val="32"/>
          <w:szCs w:val="32"/>
          <w:lang w:val="zh-CN"/>
        </w:rPr>
        <w:t>100</w:t>
      </w:r>
      <w:r>
        <w:rPr>
          <w:rFonts w:hint="eastAsia" w:ascii="仿宋_GB2312" w:eastAsia="仿宋_GB2312" w:cs="仿宋_GB2312"/>
          <w:color w:val="auto"/>
          <w:sz w:val="32"/>
          <w:szCs w:val="32"/>
          <w:lang w:val="zh-CN"/>
        </w:rPr>
        <w:t>万美元以上（含）的，每</w:t>
      </w:r>
      <w:r>
        <w:rPr>
          <w:rFonts w:ascii="仿宋_GB2312" w:eastAsia="仿宋_GB2312" w:cs="仿宋_GB2312"/>
          <w:color w:val="auto"/>
          <w:sz w:val="32"/>
          <w:szCs w:val="32"/>
          <w:lang w:val="zh-CN"/>
        </w:rPr>
        <w:t>100</w:t>
      </w:r>
      <w:r>
        <w:rPr>
          <w:rFonts w:hint="eastAsia" w:ascii="仿宋_GB2312" w:eastAsia="仿宋_GB2312" w:cs="仿宋_GB2312"/>
          <w:color w:val="auto"/>
          <w:sz w:val="32"/>
          <w:szCs w:val="32"/>
          <w:lang w:val="zh-CN"/>
        </w:rPr>
        <w:t>万美元实到外资最高奖励</w:t>
      </w:r>
      <w:r>
        <w:rPr>
          <w:rFonts w:ascii="仿宋_GB2312" w:eastAsia="仿宋_GB2312" w:cs="仿宋_GB2312"/>
          <w:color w:val="auto"/>
          <w:sz w:val="32"/>
          <w:szCs w:val="32"/>
          <w:lang w:val="zh-CN"/>
        </w:rPr>
        <w:t>1</w:t>
      </w:r>
      <w:r>
        <w:rPr>
          <w:rFonts w:hint="eastAsia" w:ascii="仿宋_GB2312" w:eastAsia="仿宋_GB2312" w:cs="仿宋_GB2312"/>
          <w:color w:val="auto"/>
          <w:sz w:val="32"/>
          <w:szCs w:val="32"/>
          <w:lang w:val="zh-CN"/>
        </w:rPr>
        <w:t>万元，每个投资项目最高奖励</w:t>
      </w:r>
      <w:r>
        <w:rPr>
          <w:rFonts w:ascii="仿宋_GB2312" w:eastAsia="仿宋_GB2312" w:cs="仿宋_GB2312"/>
          <w:color w:val="auto"/>
          <w:sz w:val="32"/>
          <w:szCs w:val="32"/>
          <w:lang w:val="zh-CN"/>
        </w:rPr>
        <w:t>10</w:t>
      </w:r>
      <w:r>
        <w:rPr>
          <w:rFonts w:hint="eastAsia" w:ascii="仿宋_GB2312" w:eastAsia="仿宋_GB2312" w:cs="仿宋_GB2312"/>
          <w:color w:val="auto"/>
          <w:sz w:val="32"/>
          <w:szCs w:val="32"/>
          <w:lang w:val="zh-CN"/>
        </w:rPr>
        <w:t>万元。</w:t>
      </w:r>
    </w:p>
    <w:p>
      <w:pPr>
        <w:autoSpaceDE w:val="0"/>
        <w:autoSpaceDN w:val="0"/>
        <w:adjustRightInd w:val="0"/>
        <w:spacing w:line="580" w:lineRule="exact"/>
        <w:ind w:firstLine="640" w:firstLineChars="200"/>
        <w:rPr>
          <w:rFonts w:hint="default" w:ascii="黑体" w:eastAsia="黑体" w:cs="黑体"/>
          <w:color w:val="auto"/>
          <w:sz w:val="32"/>
          <w:szCs w:val="32"/>
          <w:lang w:val="en-US" w:eastAsia="zh-CN"/>
        </w:rPr>
      </w:pPr>
      <w:r>
        <w:rPr>
          <w:rFonts w:hint="eastAsia" w:ascii="黑体" w:eastAsia="黑体" w:cs="黑体"/>
          <w:color w:val="auto"/>
          <w:sz w:val="32"/>
          <w:szCs w:val="32"/>
          <w:lang w:val="zh-CN"/>
        </w:rPr>
        <w:t>四、</w:t>
      </w:r>
      <w:r>
        <w:rPr>
          <w:rFonts w:hint="eastAsia" w:ascii="黑体" w:eastAsia="黑体" w:cs="黑体"/>
          <w:color w:val="auto"/>
          <w:sz w:val="32"/>
          <w:szCs w:val="32"/>
          <w:lang w:val="en-US" w:eastAsia="zh-CN"/>
        </w:rPr>
        <w:t>优化</w:t>
      </w:r>
      <w:r>
        <w:rPr>
          <w:rFonts w:hint="eastAsia" w:ascii="黑体" w:eastAsia="黑体" w:cs="黑体"/>
          <w:color w:val="auto"/>
          <w:sz w:val="32"/>
          <w:szCs w:val="32"/>
        </w:rPr>
        <w:t>商贸</w:t>
      </w:r>
      <w:r>
        <w:rPr>
          <w:rFonts w:hint="eastAsia" w:ascii="黑体" w:eastAsia="黑体" w:cs="黑体"/>
          <w:color w:val="auto"/>
          <w:sz w:val="32"/>
          <w:szCs w:val="32"/>
          <w:lang w:val="en-US" w:eastAsia="zh-CN"/>
        </w:rPr>
        <w:t>发展</w:t>
      </w:r>
      <w:r>
        <w:rPr>
          <w:rFonts w:hint="eastAsia" w:ascii="黑体" w:eastAsia="黑体" w:cs="黑体"/>
          <w:color w:val="auto"/>
          <w:sz w:val="32"/>
          <w:szCs w:val="32"/>
        </w:rPr>
        <w:t>，</w:t>
      </w:r>
      <w:r>
        <w:rPr>
          <w:rFonts w:hint="eastAsia" w:ascii="黑体" w:eastAsia="黑体" w:cs="黑体"/>
          <w:color w:val="auto"/>
          <w:sz w:val="32"/>
          <w:szCs w:val="32"/>
          <w:lang w:val="en-US" w:eastAsia="zh-CN"/>
        </w:rPr>
        <w:t>发展新型</w:t>
      </w:r>
      <w:r>
        <w:rPr>
          <w:rFonts w:hint="eastAsia" w:ascii="黑体" w:eastAsia="黑体" w:cs="黑体"/>
          <w:color w:val="auto"/>
          <w:sz w:val="32"/>
          <w:szCs w:val="32"/>
        </w:rPr>
        <w:t>业态，</w:t>
      </w:r>
      <w:r>
        <w:rPr>
          <w:rFonts w:hint="eastAsia" w:ascii="黑体" w:eastAsia="黑体" w:cs="黑体"/>
          <w:color w:val="auto"/>
          <w:sz w:val="32"/>
          <w:szCs w:val="32"/>
          <w:lang w:val="en-US" w:eastAsia="zh-CN"/>
        </w:rPr>
        <w:t>促进经济内循环</w:t>
      </w:r>
    </w:p>
    <w:p>
      <w:pPr>
        <w:spacing w:line="580" w:lineRule="exact"/>
        <w:ind w:firstLine="640" w:firstLineChars="200"/>
        <w:rPr>
          <w:rFonts w:hint="eastAsia" w:ascii="仿宋_GB2312" w:eastAsia="仿宋_GB2312" w:cs="仿宋_GB2312"/>
          <w:color w:val="auto"/>
          <w:sz w:val="32"/>
          <w:szCs w:val="32"/>
          <w:lang w:val="zh-CN"/>
        </w:rPr>
      </w:pPr>
      <w:r>
        <w:rPr>
          <w:rFonts w:hint="eastAsia" w:ascii="楷体_GB2312" w:hAnsi="楷体_GB2312" w:eastAsia="楷体_GB2312" w:cs="楷体_GB2312"/>
          <w:color w:val="auto"/>
          <w:sz w:val="32"/>
          <w:szCs w:val="32"/>
          <w:lang w:val="en-US" w:eastAsia="zh-CN"/>
        </w:rPr>
        <w:t>16</w:t>
      </w:r>
      <w:r>
        <w:rPr>
          <w:rFonts w:hint="eastAsia" w:ascii="楷体_GB2312" w:hAnsi="楷体_GB2312" w:eastAsia="楷体_GB2312" w:cs="楷体_GB2312"/>
          <w:color w:val="auto"/>
          <w:sz w:val="32"/>
          <w:szCs w:val="32"/>
          <w:lang w:val="zh-CN"/>
        </w:rPr>
        <w:t>.</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鼓励数字生活新服务建设</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发展新型业态</w:t>
      </w:r>
      <w:r>
        <w:rPr>
          <w:rFonts w:hint="eastAsia" w:ascii="楷体_GB2312" w:hAnsi="楷体_GB2312" w:eastAsia="楷体_GB2312" w:cs="楷体_GB2312"/>
          <w:color w:val="auto"/>
          <w:sz w:val="32"/>
          <w:szCs w:val="32"/>
          <w:lang w:eastAsia="zh-CN"/>
        </w:rPr>
        <w:t>。</w:t>
      </w:r>
      <w:r>
        <w:rPr>
          <w:rFonts w:hint="eastAsia" w:ascii="仿宋_GB2312" w:eastAsia="仿宋_GB2312" w:cs="仿宋_GB2312"/>
          <w:color w:val="auto"/>
          <w:sz w:val="32"/>
          <w:szCs w:val="32"/>
          <w:lang w:val="en-US" w:eastAsia="zh-CN"/>
        </w:rPr>
        <w:t>对经</w:t>
      </w:r>
      <w:r>
        <w:rPr>
          <w:rFonts w:hint="eastAsia" w:ascii="仿宋_GB2312" w:eastAsia="仿宋_GB2312" w:cs="仿宋_GB2312"/>
          <w:color w:val="auto"/>
          <w:sz w:val="32"/>
          <w:szCs w:val="32"/>
          <w:lang w:val="zh-CN"/>
        </w:rPr>
        <w:t>验收合格</w:t>
      </w:r>
      <w:r>
        <w:rPr>
          <w:rFonts w:hint="eastAsia" w:ascii="仿宋_GB2312" w:eastAsia="仿宋_GB2312" w:cs="仿宋_GB2312"/>
          <w:color w:val="auto"/>
          <w:sz w:val="32"/>
          <w:szCs w:val="32"/>
          <w:lang w:val="en-US" w:eastAsia="zh-CN"/>
        </w:rPr>
        <w:t>的</w:t>
      </w:r>
      <w:r>
        <w:rPr>
          <w:rFonts w:hint="eastAsia" w:ascii="仿宋_GB2312" w:eastAsia="仿宋_GB2312" w:cs="仿宋_GB2312"/>
          <w:color w:val="auto"/>
          <w:sz w:val="32"/>
          <w:szCs w:val="32"/>
          <w:lang w:val="zh-CN"/>
        </w:rPr>
        <w:t>智慧商圈，</w:t>
      </w:r>
      <w:r>
        <w:rPr>
          <w:rFonts w:hint="eastAsia" w:ascii="仿宋_GB2312" w:eastAsia="仿宋_GB2312" w:cs="仿宋_GB2312"/>
          <w:color w:val="auto"/>
          <w:sz w:val="32"/>
          <w:szCs w:val="32"/>
          <w:lang w:val="en-US" w:eastAsia="zh-CN"/>
        </w:rPr>
        <w:t>一次性给予每个项目</w:t>
      </w:r>
      <w:r>
        <w:rPr>
          <w:rFonts w:hint="eastAsia" w:ascii="仿宋_GB2312" w:eastAsia="仿宋_GB2312" w:cs="仿宋_GB2312"/>
          <w:color w:val="auto"/>
          <w:sz w:val="32"/>
          <w:szCs w:val="32"/>
          <w:lang w:val="zh-CN"/>
        </w:rPr>
        <w:t>10万元</w:t>
      </w:r>
      <w:r>
        <w:rPr>
          <w:rFonts w:hint="eastAsia" w:ascii="仿宋_GB2312" w:eastAsia="仿宋_GB2312" w:cs="仿宋_GB2312"/>
          <w:color w:val="auto"/>
          <w:sz w:val="32"/>
          <w:szCs w:val="32"/>
          <w:lang w:val="en-US" w:eastAsia="zh-CN"/>
        </w:rPr>
        <w:t>的补助</w:t>
      </w:r>
      <w:r>
        <w:rPr>
          <w:rFonts w:hint="eastAsia" w:ascii="仿宋_GB2312" w:eastAsia="仿宋_GB2312" w:cs="仿宋_GB2312"/>
          <w:color w:val="auto"/>
          <w:sz w:val="32"/>
          <w:szCs w:val="32"/>
          <w:lang w:val="zh-CN"/>
        </w:rPr>
        <w:t>。</w:t>
      </w:r>
      <w:r>
        <w:rPr>
          <w:rFonts w:hint="eastAsia" w:ascii="仿宋_GB2312" w:eastAsia="仿宋_GB2312" w:cs="仿宋_GB2312"/>
          <w:color w:val="auto"/>
          <w:sz w:val="32"/>
          <w:szCs w:val="32"/>
          <w:lang w:val="en-US" w:eastAsia="zh-CN"/>
        </w:rPr>
        <w:t>对</w:t>
      </w:r>
      <w:r>
        <w:rPr>
          <w:rFonts w:hint="eastAsia" w:ascii="仿宋_GB2312" w:eastAsia="仿宋_GB2312" w:cs="仿宋_GB2312"/>
          <w:color w:val="auto"/>
          <w:sz w:val="32"/>
          <w:szCs w:val="32"/>
          <w:lang w:val="zh-CN"/>
        </w:rPr>
        <w:t>商业街区新增无人门店或者智慧门店等新型零售场景</w:t>
      </w:r>
      <w:r>
        <w:rPr>
          <w:rFonts w:hint="eastAsia" w:ascii="仿宋_GB2312" w:eastAsia="仿宋_GB2312" w:cs="仿宋_GB2312"/>
          <w:color w:val="auto"/>
          <w:sz w:val="32"/>
          <w:szCs w:val="32"/>
          <w:lang w:val="en-US" w:eastAsia="zh-CN"/>
        </w:rPr>
        <w:t>的，一次性给予每个</w:t>
      </w:r>
      <w:r>
        <w:rPr>
          <w:rFonts w:hint="eastAsia" w:ascii="仿宋_GB2312" w:eastAsia="仿宋_GB2312" w:cs="仿宋_GB2312"/>
          <w:color w:val="auto"/>
          <w:sz w:val="32"/>
          <w:szCs w:val="32"/>
          <w:lang w:val="zh-CN"/>
        </w:rPr>
        <w:t>1万</w:t>
      </w:r>
      <w:r>
        <w:rPr>
          <w:rFonts w:hint="eastAsia" w:ascii="仿宋_GB2312" w:eastAsia="仿宋_GB2312" w:cs="仿宋_GB2312"/>
          <w:color w:val="auto"/>
          <w:sz w:val="32"/>
          <w:szCs w:val="32"/>
          <w:lang w:val="en-US" w:eastAsia="zh-CN"/>
        </w:rPr>
        <w:t>元的补助；对</w:t>
      </w:r>
      <w:r>
        <w:rPr>
          <w:rFonts w:hint="eastAsia" w:ascii="仿宋_GB2312" w:eastAsia="仿宋_GB2312" w:cs="仿宋_GB2312"/>
          <w:color w:val="auto"/>
          <w:sz w:val="32"/>
          <w:szCs w:val="32"/>
          <w:lang w:val="zh-CN"/>
        </w:rPr>
        <w:t>企业发展连锁无人门店或者智慧门店等新型零售场景10个以上</w:t>
      </w:r>
      <w:r>
        <w:rPr>
          <w:rFonts w:hint="eastAsia" w:ascii="仿宋_GB2312" w:eastAsia="仿宋_GB2312" w:cs="仿宋_GB2312"/>
          <w:color w:val="auto"/>
          <w:sz w:val="32"/>
          <w:szCs w:val="32"/>
          <w:lang w:val="en-US" w:eastAsia="zh-CN"/>
        </w:rPr>
        <w:t>的，一次性给予</w:t>
      </w:r>
      <w:r>
        <w:rPr>
          <w:rFonts w:hint="eastAsia" w:ascii="仿宋_GB2312" w:eastAsia="仿宋_GB2312" w:cs="仿宋_GB2312"/>
          <w:color w:val="auto"/>
          <w:sz w:val="32"/>
          <w:szCs w:val="32"/>
          <w:lang w:val="zh-CN"/>
        </w:rPr>
        <w:t>2万</w:t>
      </w:r>
      <w:r>
        <w:rPr>
          <w:rFonts w:hint="eastAsia" w:ascii="仿宋_GB2312" w:eastAsia="仿宋_GB2312" w:cs="仿宋_GB2312"/>
          <w:color w:val="auto"/>
          <w:sz w:val="32"/>
          <w:szCs w:val="32"/>
          <w:lang w:val="en-US" w:eastAsia="zh-CN"/>
        </w:rPr>
        <w:t>的补助</w:t>
      </w:r>
      <w:r>
        <w:rPr>
          <w:rFonts w:hint="eastAsia" w:ascii="仿宋_GB2312" w:eastAsia="仿宋_GB2312" w:cs="仿宋_GB2312"/>
          <w:color w:val="auto"/>
          <w:sz w:val="32"/>
          <w:szCs w:val="32"/>
          <w:lang w:val="zh-CN"/>
        </w:rPr>
        <w:t>。</w:t>
      </w:r>
    </w:p>
    <w:p>
      <w:pPr>
        <w:spacing w:line="580" w:lineRule="exact"/>
        <w:ind w:firstLine="640" w:firstLineChars="200"/>
        <w:rPr>
          <w:rFonts w:asci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17</w:t>
      </w:r>
      <w:r>
        <w:rPr>
          <w:rFonts w:hint="eastAsia" w:ascii="楷体_GB2312" w:hAnsi="楷体_GB2312" w:eastAsia="楷体_GB2312" w:cs="楷体_GB2312"/>
          <w:color w:val="auto"/>
          <w:sz w:val="32"/>
          <w:szCs w:val="32"/>
          <w:lang w:val="zh-CN"/>
        </w:rPr>
        <w:t>.</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val="zh-CN"/>
        </w:rPr>
        <w:t>加快民生商贸设施</w:t>
      </w:r>
      <w:r>
        <w:rPr>
          <w:rFonts w:hint="eastAsia" w:ascii="楷体_GB2312" w:hAnsi="楷体_GB2312" w:eastAsia="楷体_GB2312" w:cs="楷体_GB2312"/>
          <w:color w:val="auto"/>
          <w:sz w:val="32"/>
          <w:szCs w:val="32"/>
        </w:rPr>
        <w:t>提升</w:t>
      </w:r>
      <w:r>
        <w:rPr>
          <w:rFonts w:hint="eastAsia" w:ascii="楷体_GB2312" w:hAnsi="楷体_GB2312" w:eastAsia="楷体_GB2312" w:cs="楷体_GB2312"/>
          <w:color w:val="auto"/>
          <w:sz w:val="32"/>
          <w:szCs w:val="32"/>
          <w:lang w:val="zh-CN"/>
        </w:rPr>
        <w:t>，</w:t>
      </w:r>
      <w:r>
        <w:rPr>
          <w:rFonts w:hint="eastAsia" w:ascii="楷体_GB2312" w:hAnsi="楷体_GB2312" w:eastAsia="楷体_GB2312" w:cs="楷体_GB2312"/>
          <w:color w:val="auto"/>
          <w:sz w:val="32"/>
          <w:szCs w:val="32"/>
        </w:rPr>
        <w:t>优化</w:t>
      </w:r>
      <w:r>
        <w:rPr>
          <w:rFonts w:hint="eastAsia" w:ascii="楷体_GB2312" w:hAnsi="楷体_GB2312" w:eastAsia="楷体_GB2312" w:cs="楷体_GB2312"/>
          <w:color w:val="auto"/>
          <w:sz w:val="32"/>
          <w:szCs w:val="32"/>
          <w:lang w:val="zh-CN"/>
        </w:rPr>
        <w:t>消费</w:t>
      </w:r>
      <w:r>
        <w:rPr>
          <w:rFonts w:hint="eastAsia" w:ascii="楷体_GB2312" w:hAnsi="楷体_GB2312" w:eastAsia="楷体_GB2312" w:cs="楷体_GB2312"/>
          <w:color w:val="auto"/>
          <w:sz w:val="32"/>
          <w:szCs w:val="32"/>
        </w:rPr>
        <w:t>供给</w:t>
      </w:r>
      <w:r>
        <w:rPr>
          <w:rFonts w:hint="eastAsia" w:ascii="楷体_GB2312" w:hAnsi="楷体_GB2312" w:eastAsia="楷体_GB2312" w:cs="楷体_GB2312"/>
          <w:color w:val="auto"/>
          <w:sz w:val="32"/>
          <w:szCs w:val="32"/>
          <w:lang w:val="zh-CN"/>
        </w:rPr>
        <w:t>。</w:t>
      </w:r>
      <w:r>
        <w:rPr>
          <w:rFonts w:hint="eastAsia" w:ascii="仿宋_GB2312" w:eastAsia="仿宋_GB2312" w:cs="仿宋_GB2312"/>
          <w:color w:val="auto"/>
          <w:sz w:val="32"/>
          <w:szCs w:val="32"/>
        </w:rPr>
        <w:t>对达到</w:t>
      </w:r>
      <w:r>
        <w:rPr>
          <w:rFonts w:hint="eastAsia" w:ascii="仿宋_GB2312" w:eastAsia="仿宋_GB2312" w:cs="仿宋_GB2312"/>
          <w:color w:val="auto"/>
          <w:sz w:val="32"/>
          <w:szCs w:val="32"/>
          <w:lang w:val="zh-CN"/>
        </w:rPr>
        <w:t>市社区商业邻里中心、15分钟商贸便民服务圈、商业试点街区、夜间经济试点街区建设标准的经营主体，给予最高5万元补助，被国家相关职能部门评为试点街区的，再一次性奖励10万元。商业面积在2万平方米以上的</w:t>
      </w:r>
      <w:r>
        <w:rPr>
          <w:rFonts w:hint="eastAsia" w:ascii="仿宋_GB2312" w:eastAsia="仿宋_GB2312" w:cs="仿宋_GB2312"/>
          <w:color w:val="auto"/>
          <w:sz w:val="32"/>
          <w:szCs w:val="32"/>
        </w:rPr>
        <w:t>商业综合体，经审计平效首次达到1万元/年/平方米、1.2万元/年/平方米、1.5万元/年/平方米的，分别给予商业综合体运营管理团队10万元、20万元、30万元的奖励，每个商业综合体总奖励金额不超过评定的最高标准。</w:t>
      </w:r>
    </w:p>
    <w:p>
      <w:pPr>
        <w:spacing w:line="580" w:lineRule="exact"/>
        <w:ind w:firstLine="640" w:firstLineChars="200"/>
        <w:rPr>
          <w:rFonts w:asci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18</w:t>
      </w:r>
      <w:r>
        <w:rPr>
          <w:rFonts w:hint="eastAsia" w:ascii="楷体_GB2312" w:hAnsi="楷体_GB2312" w:eastAsia="楷体_GB2312" w:cs="楷体_GB2312"/>
          <w:color w:val="auto"/>
          <w:sz w:val="32"/>
          <w:szCs w:val="32"/>
        </w:rPr>
        <w:t>. 鼓励商贸行业发展壮大，提升商贸经济。</w:t>
      </w:r>
      <w:r>
        <w:rPr>
          <w:rFonts w:hint="eastAsia" w:ascii="仿宋_GB2312" w:eastAsia="仿宋_GB2312" w:cs="仿宋_GB2312"/>
          <w:color w:val="auto"/>
          <w:sz w:val="32"/>
          <w:szCs w:val="32"/>
        </w:rPr>
        <w:t>对当年商品销售额规模达到20亿元、30亿元、50亿元、100亿、200亿元且较上年保持正增长的企业，分别给予最高6万、9万、15万元、30万元、60万元的一次性奖励。在此基础上，连续两年实现正增长的企业（上一年新设立企业可豁免），比上年每增加5亿元商品销售额，奖励2万元；对当年零售额达到5亿元、10亿元、20亿元、30亿元、50亿元且较上年保持正增长的企业，分别给予最高5万、10万、20万元、30万元、50万元的一次性奖励。在此基础上，连续两年实现正增长的企业（上一年新设立企业可豁免），比上年每增加0.5亿元零售额，奖励1万元。所有企业，在本年度达到高一档次奖励标准的，所得奖励额为本年度达规奖励额减去以前年度累计已得奖励额后的差额部分。当年达规奖励和增量奖励不重复享受，按就高原则。每家企业，当年奖励额累计不超过60万元。</w:t>
      </w:r>
    </w:p>
    <w:p>
      <w:pPr>
        <w:spacing w:line="580" w:lineRule="exact"/>
        <w:ind w:firstLine="640" w:firstLineChars="200"/>
        <w:rPr>
          <w:rFonts w:ascii="仿宋_GB2312" w:eastAsia="仿宋_GB2312" w:cs="仿宋_GB2312"/>
          <w:color w:val="auto"/>
          <w:sz w:val="32"/>
          <w:szCs w:val="32"/>
        </w:rPr>
      </w:pPr>
      <w:r>
        <w:rPr>
          <w:rFonts w:hint="eastAsia" w:ascii="楷体_GB2312" w:hAnsi="楷体_GB2312" w:eastAsia="楷体_GB2312" w:cs="楷体_GB2312"/>
          <w:color w:val="auto"/>
          <w:sz w:val="32"/>
          <w:szCs w:val="32"/>
        </w:rPr>
        <w:t>1</w:t>
      </w:r>
      <w:r>
        <w:rPr>
          <w:rFonts w:hint="eastAsia" w:ascii="楷体_GB2312" w:hAnsi="楷体_GB2312" w:eastAsia="楷体_GB2312" w:cs="楷体_GB2312"/>
          <w:color w:val="auto"/>
          <w:sz w:val="32"/>
          <w:szCs w:val="32"/>
          <w:lang w:val="en-US" w:eastAsia="zh-CN"/>
        </w:rPr>
        <w:t>9</w:t>
      </w:r>
      <w:r>
        <w:rPr>
          <w:rFonts w:hint="eastAsia" w:ascii="楷体_GB2312" w:hAnsi="楷体_GB2312" w:eastAsia="楷体_GB2312" w:cs="楷体_GB2312"/>
          <w:color w:val="auto"/>
          <w:sz w:val="32"/>
          <w:szCs w:val="32"/>
        </w:rPr>
        <w:t>. 鼓励引进品牌首店和老字号，助推业态提升。</w:t>
      </w:r>
      <w:r>
        <w:rPr>
          <w:rFonts w:hint="eastAsia" w:ascii="仿宋_GB2312" w:eastAsia="仿宋_GB2312" w:cs="仿宋_GB2312"/>
          <w:color w:val="auto"/>
          <w:sz w:val="32"/>
          <w:szCs w:val="32"/>
        </w:rPr>
        <w:t>鼓励行业里有代表性的品牌或者新的潮牌在江北区开设首店，对纳入限上统计平台的首店企业，经区政府专题会议讨论后另行商议奖励金额。对新认定和市外新引进的浙江老字号和中华老字号企业，分别给予10万元和30万元奖励。</w:t>
      </w:r>
    </w:p>
    <w:p>
      <w:pPr>
        <w:autoSpaceDE w:val="0"/>
        <w:autoSpaceDN w:val="0"/>
        <w:adjustRightInd w:val="0"/>
        <w:spacing w:line="580" w:lineRule="exact"/>
        <w:ind w:firstLine="640" w:firstLineChars="200"/>
        <w:rPr>
          <w:rFonts w:ascii="黑体" w:eastAsia="黑体" w:cs="黑体"/>
          <w:color w:val="auto"/>
          <w:sz w:val="32"/>
          <w:szCs w:val="32"/>
        </w:rPr>
      </w:pPr>
      <w:r>
        <w:rPr>
          <w:rFonts w:hint="eastAsia" w:ascii="黑体" w:eastAsia="黑体" w:cs="黑体"/>
          <w:color w:val="auto"/>
          <w:sz w:val="32"/>
          <w:szCs w:val="32"/>
          <w:lang w:val="zh-CN"/>
        </w:rPr>
        <w:t>五、</w:t>
      </w:r>
      <w:r>
        <w:rPr>
          <w:rFonts w:hint="eastAsia" w:ascii="黑体" w:eastAsia="黑体" w:cs="黑体"/>
          <w:color w:val="auto"/>
          <w:sz w:val="32"/>
          <w:szCs w:val="32"/>
        </w:rPr>
        <w:t>培育电商主体，做大跨境规模，推进电商产业发展</w:t>
      </w:r>
    </w:p>
    <w:p>
      <w:pPr>
        <w:spacing w:line="56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20</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sz w:val="32"/>
          <w:szCs w:val="32"/>
        </w:rPr>
        <w:t>鼓励各类外贸企业开展跨境电子商务业务</w:t>
      </w:r>
      <w:r>
        <w:rPr>
          <w:rFonts w:hint="eastAsia" w:ascii="仿宋_GB2312" w:hAnsi="仿宋_GB2312" w:eastAsia="仿宋_GB2312" w:cs="仿宋_GB2312"/>
          <w:sz w:val="32"/>
          <w:szCs w:val="32"/>
        </w:rPr>
        <w:t>。对企业以跨境电子商务开展进出口业务的，</w:t>
      </w:r>
      <w:r>
        <w:rPr>
          <w:rFonts w:hint="eastAsia" w:ascii="仿宋_GB2312" w:hAnsi="仿宋" w:eastAsia="仿宋_GB2312"/>
          <w:sz w:val="32"/>
          <w:szCs w:val="32"/>
        </w:rPr>
        <w:t>当年跨境电子商务出口额分别达到3亿元、6亿元、9亿元，且同比实现正增长的，分别给予最高5万、10万、15万元的奖励；当年跨境电子商务出口额增量在500万元以上，且连续两年正增长的，以上年跨境电子商务出口额为基数，超基数部分按每500万元最高奖励0.5万元，每家企业全年奖励不超过10万元；对</w:t>
      </w:r>
      <w:r>
        <w:rPr>
          <w:rFonts w:hint="eastAsia" w:ascii="仿宋_GB2312" w:hAnsi="仿宋_GB2312" w:eastAsia="仿宋_GB2312" w:cs="仿宋_GB2312"/>
          <w:sz w:val="32"/>
          <w:szCs w:val="32"/>
        </w:rPr>
        <w:t>以海关监管代码9710、9810模式出口且首年出口额达到500万元的，一次性给予最高5万元的奖励。</w:t>
      </w:r>
    </w:p>
    <w:p>
      <w:pPr>
        <w:spacing w:line="56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21</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sz w:val="32"/>
          <w:szCs w:val="32"/>
        </w:rPr>
        <w:t>鼓励各类跨境电子商务企业开展跨境零售业务。</w:t>
      </w:r>
      <w:r>
        <w:rPr>
          <w:rFonts w:hint="eastAsia" w:ascii="仿宋_GB2312" w:hAnsi="仿宋_GB2312" w:eastAsia="仿宋_GB2312" w:cs="仿宋_GB2312"/>
          <w:sz w:val="32"/>
          <w:szCs w:val="32"/>
        </w:rPr>
        <w:t>对企业以跨境电子商务（海关监管代码9610）开展跨境零售业务的，当年物流单量超过100万单（依据宁波跨境电子商务综试区平台数据），给予最高0.1元/单的物流费用补助，每家企业全年补助不超过30万元。</w:t>
      </w:r>
    </w:p>
    <w:p>
      <w:pPr>
        <w:spacing w:line="560" w:lineRule="exact"/>
        <w:ind w:firstLine="640" w:firstLineChars="200"/>
        <w:rPr>
          <w:rFonts w:ascii="仿宋_GB2312" w:hAnsi="仿宋" w:eastAsia="仿宋_GB2312"/>
          <w:color w:val="auto"/>
          <w:sz w:val="32"/>
          <w:szCs w:val="32"/>
        </w:rPr>
      </w:pPr>
      <w:r>
        <w:rPr>
          <w:rFonts w:hint="eastAsia" w:ascii="楷体_GB2312" w:hAnsi="楷体_GB2312" w:eastAsia="楷体_GB2312" w:cs="楷体_GB2312"/>
          <w:color w:val="auto"/>
          <w:sz w:val="32"/>
          <w:szCs w:val="32"/>
          <w:lang w:val="en-US" w:eastAsia="zh-CN"/>
        </w:rPr>
        <w:t>22</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sz w:val="32"/>
          <w:szCs w:val="32"/>
        </w:rPr>
        <w:t>鼓励</w:t>
      </w:r>
      <w:r>
        <w:rPr>
          <w:rFonts w:hint="eastAsia" w:ascii="楷体_GB2312" w:hAnsi="楷体_GB2312" w:eastAsia="楷体_GB2312" w:cs="楷体_GB2312"/>
          <w:sz w:val="32"/>
          <w:szCs w:val="32"/>
          <w:lang w:val="en-US" w:eastAsia="zh-CN"/>
        </w:rPr>
        <w:t>各类</w:t>
      </w:r>
      <w:r>
        <w:rPr>
          <w:rFonts w:hint="eastAsia" w:ascii="楷体_GB2312" w:hAnsi="楷体_GB2312" w:eastAsia="楷体_GB2312" w:cs="楷体_GB2312"/>
          <w:sz w:val="32"/>
          <w:szCs w:val="32"/>
        </w:rPr>
        <w:t>跨境电子商务企业建设海外仓。</w:t>
      </w:r>
      <w:r>
        <w:rPr>
          <w:rFonts w:hint="eastAsia" w:ascii="仿宋_GB2312" w:hAnsi="宋体" w:eastAsia="仿宋_GB2312" w:cs="宋体"/>
          <w:sz w:val="32"/>
          <w:szCs w:val="32"/>
        </w:rPr>
        <w:t>鼓励企业以多种方式建设和运营海外仓，被市级及以上商务主管部门列入跨境电子商务海外仓建设试点名单的，按照实际获得的奖励资金总额一次性给予最高50%的配套补助，</w:t>
      </w:r>
      <w:r>
        <w:rPr>
          <w:rFonts w:hint="eastAsia" w:ascii="仿宋_GB2312" w:hAnsi="仿宋" w:eastAsia="仿宋_GB2312"/>
          <w:sz w:val="32"/>
          <w:szCs w:val="32"/>
        </w:rPr>
        <w:t>每家企业补助不超过30万元。</w:t>
      </w:r>
    </w:p>
    <w:p>
      <w:pPr>
        <w:spacing w:line="560" w:lineRule="exact"/>
        <w:ind w:firstLine="640" w:firstLineChars="200"/>
        <w:rPr>
          <w:rFonts w:ascii="仿宋_GB2312" w:hAnsi="仿宋" w:eastAsia="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rPr>
        <w:t xml:space="preserve">. </w:t>
      </w:r>
      <w:r>
        <w:rPr>
          <w:rFonts w:hint="eastAsia" w:ascii="楷体" w:hAnsi="楷体" w:eastAsia="楷体" w:cs="宋体"/>
          <w:sz w:val="32"/>
          <w:szCs w:val="32"/>
        </w:rPr>
        <w:t>鼓励各类跨境电子商务企业境外注册和国际认证。</w:t>
      </w:r>
      <w:r>
        <w:rPr>
          <w:rFonts w:hint="eastAsia" w:ascii="仿宋_GB2312" w:hAnsi="宋体" w:eastAsia="仿宋_GB2312" w:cs="宋体"/>
          <w:sz w:val="32"/>
          <w:szCs w:val="32"/>
        </w:rPr>
        <w:t>对在跨境出口目的国注册自有商标（或通过国际认证）且有跨境电子商务业绩的企业</w:t>
      </w:r>
      <w:r>
        <w:rPr>
          <w:rFonts w:hint="eastAsia" w:ascii="仿宋_GB2312" w:hAnsi="仿宋_GB2312" w:eastAsia="仿宋_GB2312" w:cs="仿宋_GB2312"/>
          <w:sz w:val="32"/>
          <w:szCs w:val="32"/>
        </w:rPr>
        <w:t>（依据宁波跨境电子商务综试区平台数据）</w:t>
      </w:r>
      <w:r>
        <w:rPr>
          <w:rFonts w:hint="eastAsia" w:ascii="仿宋_GB2312" w:hAnsi="宋体" w:eastAsia="仿宋_GB2312" w:cs="宋体"/>
          <w:sz w:val="32"/>
          <w:szCs w:val="32"/>
        </w:rPr>
        <w:t>，按当年境外商标注册费用（或国际认证费用）一次性给予最高全额补助。每家企业全年补助不超过10万元。</w:t>
      </w:r>
    </w:p>
    <w:p>
      <w:pPr>
        <w:numPr>
          <w:ilvl w:val="0"/>
          <w:numId w:val="1"/>
        </w:numPr>
        <w:spacing w:line="560" w:lineRule="exact"/>
        <w:ind w:firstLine="640" w:firstLineChars="200"/>
        <w:rPr>
          <w:rFonts w:hint="eastAsia" w:ascii="仿宋_GB2312" w:hAnsi="宋体" w:eastAsia="仿宋_GB2312" w:cs="宋体"/>
          <w:sz w:val="32"/>
          <w:szCs w:val="32"/>
        </w:rPr>
      </w:pPr>
      <w:r>
        <w:rPr>
          <w:rFonts w:hint="eastAsia" w:ascii="楷体" w:hAnsi="楷体" w:eastAsia="楷体" w:cs="宋体"/>
          <w:sz w:val="32"/>
          <w:szCs w:val="32"/>
        </w:rPr>
        <w:t>鼓励各类企业开展国内网络零售业务。</w:t>
      </w:r>
      <w:r>
        <w:rPr>
          <w:rFonts w:hint="eastAsia" w:ascii="仿宋_GB2312" w:hAnsi="宋体" w:eastAsia="仿宋_GB2312" w:cs="宋体"/>
          <w:sz w:val="32"/>
          <w:szCs w:val="32"/>
        </w:rPr>
        <w:t>对规模以上工业企业和限额以上商贸企业在国内知名网站（</w:t>
      </w:r>
      <w:r>
        <w:rPr>
          <w:rFonts w:hint="eastAsia" w:ascii="仿宋_GB2312" w:hAnsi="仿宋_GB2312" w:eastAsia="仿宋_GB2312" w:cs="仿宋_GB2312"/>
          <w:sz w:val="32"/>
          <w:szCs w:val="32"/>
        </w:rPr>
        <w:t>天猫、淘宝、京东、拼多多、苏宁易购、</w:t>
      </w:r>
      <w:r>
        <w:rPr>
          <w:rFonts w:ascii="仿宋_GB2312" w:hAnsi="仿宋_GB2312" w:eastAsia="仿宋_GB2312" w:cs="仿宋_GB2312"/>
          <w:bCs/>
          <w:sz w:val="32"/>
          <w:szCs w:val="32"/>
        </w:rPr>
        <w:t>当当网、唯品会、聚美优品</w:t>
      </w:r>
      <w:r>
        <w:rPr>
          <w:rFonts w:hint="eastAsia" w:ascii="仿宋_GB2312" w:hAnsi="仿宋_GB2312" w:eastAsia="仿宋_GB2312" w:cs="仿宋_GB2312"/>
          <w:bCs/>
          <w:sz w:val="32"/>
          <w:szCs w:val="32"/>
          <w:lang w:val="en-US" w:eastAsia="zh-CN"/>
        </w:rPr>
        <w:t>等</w:t>
      </w:r>
      <w:r>
        <w:rPr>
          <w:rFonts w:hint="eastAsia" w:ascii="仿宋_GB2312" w:hAnsi="宋体" w:eastAsia="仿宋_GB2312" w:cs="宋体"/>
          <w:sz w:val="32"/>
          <w:szCs w:val="32"/>
        </w:rPr>
        <w:t>）开设店铺且有销售实绩的，一次性给予每家企业最高2万元的奖励。</w:t>
      </w:r>
    </w:p>
    <w:p>
      <w:pPr>
        <w:spacing w:line="560" w:lineRule="exact"/>
        <w:ind w:firstLine="640" w:firstLineChars="200"/>
        <w:rPr>
          <w:rFonts w:ascii="仿宋_GB2312" w:hAnsi="宋体" w:eastAsia="仿宋_GB2312" w:cs="宋体"/>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 xml:space="preserve">. </w:t>
      </w:r>
      <w:r>
        <w:rPr>
          <w:rFonts w:hint="eastAsia" w:ascii="楷体" w:hAnsi="楷体" w:eastAsia="楷体" w:cs="宋体"/>
          <w:sz w:val="32"/>
          <w:szCs w:val="32"/>
        </w:rPr>
        <w:t>鼓励企业建设电子商务产业园区。</w:t>
      </w:r>
      <w:r>
        <w:rPr>
          <w:rFonts w:hint="eastAsia" w:ascii="仿宋_GB2312" w:hAnsi="宋体" w:eastAsia="仿宋_GB2312" w:cs="宋体"/>
          <w:sz w:val="32"/>
          <w:szCs w:val="32"/>
        </w:rPr>
        <w:t>对新列入省、市级电子商务产业园区的运营管理企业（以省市商务系统评定结果为准），按当年实际发生的场地租赁费用，一次性给予最高20%的补助，每家企业全年补助不超过30万元。</w:t>
      </w:r>
    </w:p>
    <w:p>
      <w:pPr>
        <w:numPr>
          <w:ilvl w:val="0"/>
          <w:numId w:val="0"/>
        </w:numPr>
        <w:tabs>
          <w:tab w:val="left" w:pos="3875"/>
        </w:tabs>
        <w:spacing w:line="580" w:lineRule="exact"/>
        <w:ind w:firstLine="640" w:firstLineChars="200"/>
        <w:rPr>
          <w:rFonts w:hint="eastAsia" w:ascii="仿宋_GB2312" w:hAnsi="宋体" w:eastAsia="仿宋_GB2312"/>
          <w:bCs/>
          <w:sz w:val="32"/>
          <w:szCs w:val="32"/>
        </w:rPr>
      </w:pPr>
      <w:r>
        <w:rPr>
          <w:rFonts w:hint="eastAsia" w:ascii="楷体_GB2312" w:hAnsi="楷体_GB2312" w:eastAsia="楷体_GB2312" w:cs="楷体_GB2312"/>
          <w:color w:val="auto"/>
          <w:sz w:val="32"/>
          <w:szCs w:val="32"/>
          <w:lang w:val="en-US" w:eastAsia="zh-CN"/>
        </w:rPr>
        <w:t xml:space="preserve">26. </w:t>
      </w:r>
      <w:r>
        <w:rPr>
          <w:rFonts w:hint="eastAsia" w:ascii="楷体" w:hAnsi="楷体" w:eastAsia="楷体" w:cs="宋体"/>
          <w:sz w:val="32"/>
          <w:szCs w:val="32"/>
        </w:rPr>
        <w:t>鼓励发展直播经济。</w:t>
      </w:r>
      <w:r>
        <w:rPr>
          <w:rFonts w:hint="eastAsia" w:ascii="仿宋_GB2312" w:hAnsi="宋体" w:eastAsia="仿宋_GB2312" w:cs="宋体"/>
          <w:sz w:val="32"/>
          <w:szCs w:val="32"/>
        </w:rPr>
        <w:t>鼓励各种直播新模式发展，推进直播电商与区域优势产业融合发展，培育直播产业集群，促进传统产业数字化转型。</w:t>
      </w:r>
      <w:r>
        <w:rPr>
          <w:rFonts w:hint="eastAsia" w:ascii="仿宋_GB2312" w:hAnsi="宋体" w:eastAsia="仿宋_GB2312"/>
          <w:bCs/>
          <w:sz w:val="32"/>
          <w:szCs w:val="32"/>
        </w:rPr>
        <w:t>（具体标准及办法由商务局与财政局、发改局共同商议后另行制定）。</w:t>
      </w:r>
    </w:p>
    <w:p>
      <w:pPr>
        <w:tabs>
          <w:tab w:val="left" w:pos="3875"/>
        </w:tabs>
        <w:spacing w:line="580" w:lineRule="exact"/>
        <w:ind w:firstLine="640" w:firstLineChars="200"/>
        <w:rPr>
          <w:rFonts w:ascii="仿宋_GB2312" w:hAnsi="宋体" w:eastAsia="仿宋_GB2312"/>
          <w:bCs/>
          <w:sz w:val="32"/>
          <w:szCs w:val="32"/>
        </w:rPr>
      </w:pPr>
      <w:r>
        <w:rPr>
          <w:rFonts w:hint="eastAsia" w:ascii="仿宋_GB2312" w:hAnsi="楷体" w:eastAsia="仿宋_GB2312" w:cs="宋体"/>
          <w:color w:val="auto"/>
          <w:sz w:val="32"/>
          <w:szCs w:val="32"/>
        </w:rPr>
        <w:t>2</w:t>
      </w:r>
      <w:r>
        <w:rPr>
          <w:rFonts w:hint="eastAsia" w:ascii="仿宋_GB2312" w:hAnsi="楷体" w:eastAsia="仿宋_GB2312" w:cs="宋体"/>
          <w:color w:val="auto"/>
          <w:sz w:val="32"/>
          <w:szCs w:val="32"/>
          <w:lang w:val="en-US" w:eastAsia="zh-CN"/>
        </w:rPr>
        <w:t>7</w:t>
      </w:r>
      <w:r>
        <w:rPr>
          <w:rFonts w:hint="eastAsia" w:ascii="仿宋_GB2312" w:hAnsi="楷体" w:eastAsia="仿宋_GB2312" w:cs="宋体"/>
          <w:color w:val="auto"/>
          <w:sz w:val="32"/>
          <w:szCs w:val="32"/>
        </w:rPr>
        <w:t>.</w:t>
      </w:r>
      <w:r>
        <w:rPr>
          <w:rFonts w:hint="eastAsia" w:ascii="楷体_GB2312" w:hAnsi="楷体_GB2312" w:eastAsia="楷体_GB2312" w:cs="楷体_GB2312"/>
          <w:sz w:val="32"/>
          <w:szCs w:val="32"/>
        </w:rPr>
        <w:t>鼓励各类机构开展电子商务人才培训。</w:t>
      </w:r>
      <w:r>
        <w:rPr>
          <w:rFonts w:hint="eastAsia" w:ascii="仿宋_GB2312" w:hAnsi="宋体" w:eastAsia="仿宋_GB2312"/>
          <w:bCs/>
          <w:sz w:val="32"/>
          <w:szCs w:val="32"/>
        </w:rPr>
        <w:t>鼓励各类专业培训机构开展电子商务人才培训，对经商务部门认定的培训项目，按照获得相关资格证书的考取人数给予培训机构最高500元/人的补助。</w:t>
      </w:r>
    </w:p>
    <w:p>
      <w:pPr>
        <w:spacing w:line="580" w:lineRule="exact"/>
        <w:ind w:firstLine="640" w:firstLineChars="200"/>
        <w:rPr>
          <w:rFonts w:ascii="黑体" w:eastAsia="黑体" w:cs="仿宋_GB2312"/>
          <w:color w:val="auto"/>
          <w:sz w:val="32"/>
          <w:szCs w:val="32"/>
        </w:rPr>
      </w:pPr>
      <w:r>
        <w:rPr>
          <w:rFonts w:hint="eastAsia" w:ascii="黑体" w:eastAsia="黑体" w:cs="仿宋_GB2312"/>
          <w:color w:val="auto"/>
          <w:sz w:val="32"/>
          <w:szCs w:val="32"/>
        </w:rPr>
        <w:t>六、支持活动举办，鼓励示范创建，优化商务配套环境</w:t>
      </w:r>
    </w:p>
    <w:p>
      <w:pPr>
        <w:spacing w:line="580" w:lineRule="exact"/>
        <w:ind w:firstLine="640" w:firstLineChars="200"/>
        <w:rPr>
          <w:rFonts w:ascii="黑体" w:eastAsia="黑体" w:cs="仿宋_GB2312"/>
          <w:color w:val="auto"/>
          <w:sz w:val="32"/>
          <w:szCs w:val="32"/>
        </w:rPr>
      </w:pPr>
      <w:r>
        <w:rPr>
          <w:rFonts w:hint="eastAsia" w:ascii="楷体_GB2312" w:hAnsi="楷体_GB2312" w:eastAsia="楷体_GB2312" w:cs="楷体_GB2312"/>
          <w:color w:val="auto"/>
          <w:sz w:val="32"/>
          <w:szCs w:val="32"/>
          <w:lang w:val="en-US" w:eastAsia="zh-CN"/>
        </w:rPr>
        <w:t>28</w:t>
      </w:r>
      <w:r>
        <w:rPr>
          <w:rFonts w:hint="eastAsia" w:ascii="楷体_GB2312" w:hAnsi="楷体_GB2312" w:eastAsia="楷体_GB2312" w:cs="楷体_GB2312"/>
          <w:color w:val="auto"/>
          <w:sz w:val="32"/>
          <w:szCs w:val="32"/>
        </w:rPr>
        <w:t>. 鼓励企业承办各类商务活动。</w:t>
      </w:r>
      <w:r>
        <w:rPr>
          <w:rFonts w:hint="eastAsia" w:ascii="仿宋_GB2312" w:hAnsi="仿宋" w:eastAsia="仿宋_GB2312" w:cs="宋体"/>
          <w:color w:val="auto"/>
          <w:sz w:val="32"/>
          <w:szCs w:val="32"/>
        </w:rPr>
        <w:t>支持各类企业机构</w:t>
      </w:r>
      <w:r>
        <w:rPr>
          <w:rFonts w:hint="eastAsia" w:ascii="仿宋_GB2312" w:eastAsia="仿宋_GB2312" w:cs="仿宋_GB2312"/>
          <w:color w:val="auto"/>
          <w:sz w:val="32"/>
          <w:szCs w:val="32"/>
          <w:lang w:val="zh-CN"/>
        </w:rPr>
        <w:t>承办政府组织的商贸节庆</w:t>
      </w:r>
      <w:r>
        <w:rPr>
          <w:rFonts w:hint="eastAsia" w:ascii="仿宋_GB2312" w:eastAsia="仿宋_GB2312" w:cs="仿宋_GB2312"/>
          <w:color w:val="auto"/>
          <w:sz w:val="32"/>
          <w:szCs w:val="32"/>
        </w:rPr>
        <w:t>和</w:t>
      </w:r>
      <w:r>
        <w:rPr>
          <w:rFonts w:hint="eastAsia" w:ascii="仿宋_GB2312" w:hAnsi="仿宋" w:eastAsia="仿宋_GB2312" w:cs="宋体"/>
          <w:color w:val="auto"/>
          <w:sz w:val="32"/>
          <w:szCs w:val="32"/>
        </w:rPr>
        <w:t>电子商务招商、展会、论坛等活动</w:t>
      </w:r>
      <w:r>
        <w:rPr>
          <w:rFonts w:hint="eastAsia" w:ascii="仿宋_GB2312" w:eastAsia="仿宋_GB2312" w:cs="仿宋_GB2312"/>
          <w:color w:val="auto"/>
          <w:sz w:val="32"/>
          <w:szCs w:val="32"/>
          <w:lang w:val="zh-CN"/>
        </w:rPr>
        <w:t>，</w:t>
      </w:r>
      <w:r>
        <w:rPr>
          <w:rFonts w:hint="eastAsia" w:ascii="仿宋_GB2312" w:eastAsia="仿宋_GB2312" w:cs="仿宋_GB2312"/>
          <w:color w:val="auto"/>
          <w:sz w:val="32"/>
          <w:szCs w:val="32"/>
        </w:rPr>
        <w:t>对</w:t>
      </w:r>
      <w:r>
        <w:rPr>
          <w:rFonts w:hint="eastAsia" w:ascii="仿宋_GB2312" w:eastAsia="仿宋_GB2312" w:cs="仿宋_GB2312"/>
          <w:color w:val="auto"/>
          <w:sz w:val="32"/>
          <w:szCs w:val="32"/>
          <w:lang w:val="zh-CN"/>
        </w:rPr>
        <w:t>经区</w:t>
      </w:r>
      <w:r>
        <w:rPr>
          <w:rFonts w:hint="eastAsia" w:ascii="仿宋_GB2312" w:eastAsia="仿宋_GB2312" w:cs="仿宋_GB2312"/>
          <w:color w:val="auto"/>
          <w:sz w:val="32"/>
          <w:szCs w:val="32"/>
        </w:rPr>
        <w:t>商务局</w:t>
      </w:r>
      <w:r>
        <w:rPr>
          <w:rFonts w:hint="eastAsia" w:ascii="仿宋_GB2312" w:eastAsia="仿宋_GB2312" w:cs="仿宋_GB2312"/>
          <w:color w:val="auto"/>
          <w:sz w:val="32"/>
          <w:szCs w:val="32"/>
          <w:lang w:val="zh-CN"/>
        </w:rPr>
        <w:t>认定</w:t>
      </w:r>
      <w:r>
        <w:rPr>
          <w:rFonts w:hint="eastAsia" w:ascii="仿宋_GB2312" w:eastAsia="仿宋_GB2312" w:cs="仿宋_GB2312"/>
          <w:color w:val="auto"/>
          <w:sz w:val="32"/>
          <w:szCs w:val="32"/>
        </w:rPr>
        <w:t>的</w:t>
      </w:r>
      <w:r>
        <w:rPr>
          <w:rFonts w:hint="eastAsia" w:ascii="仿宋_GB2312" w:eastAsia="仿宋_GB2312" w:cs="仿宋_GB2312"/>
          <w:color w:val="auto"/>
          <w:sz w:val="32"/>
          <w:szCs w:val="32"/>
          <w:lang w:val="zh-CN"/>
        </w:rPr>
        <w:t>，</w:t>
      </w:r>
      <w:r>
        <w:rPr>
          <w:rFonts w:hint="eastAsia" w:ascii="仿宋_GB2312" w:hAnsi="仿宋" w:eastAsia="仿宋_GB2312" w:cs="宋体"/>
          <w:color w:val="auto"/>
          <w:sz w:val="32"/>
          <w:szCs w:val="32"/>
        </w:rPr>
        <w:t>根据活动成效情况及实际经费使用情况，给予30%以内且不超过10万元的补助，属于市、区重大活动的，最高不超过50万元。</w:t>
      </w:r>
    </w:p>
    <w:p>
      <w:pPr>
        <w:spacing w:line="580" w:lineRule="exact"/>
        <w:ind w:firstLine="640" w:firstLineChars="200"/>
        <w:rPr>
          <w:rFonts w:ascii="黑体" w:eastAsia="黑体" w:cs="仿宋_GB2312"/>
          <w:color w:val="auto"/>
          <w:sz w:val="32"/>
          <w:szCs w:val="32"/>
        </w:rPr>
      </w:pPr>
      <w:r>
        <w:rPr>
          <w:rFonts w:hint="eastAsia" w:ascii="楷体_GB2312" w:hAnsi="楷体_GB2312" w:eastAsia="楷体_GB2312" w:cs="楷体_GB2312"/>
          <w:color w:val="auto"/>
          <w:sz w:val="32"/>
          <w:szCs w:val="32"/>
          <w:lang w:val="en-US" w:eastAsia="zh-CN"/>
        </w:rPr>
        <w:t>29</w:t>
      </w:r>
      <w:r>
        <w:rPr>
          <w:rFonts w:hint="eastAsia" w:ascii="楷体_GB2312" w:hAnsi="楷体_GB2312" w:eastAsia="楷体_GB2312" w:cs="楷体_GB2312"/>
          <w:color w:val="auto"/>
          <w:sz w:val="32"/>
          <w:szCs w:val="32"/>
        </w:rPr>
        <w:t>. 鼓励开展各类示范创建。</w:t>
      </w:r>
      <w:r>
        <w:rPr>
          <w:rFonts w:hint="eastAsia" w:ascii="仿宋_GB2312" w:eastAsia="仿宋_GB2312" w:cs="仿宋_GB2312"/>
          <w:color w:val="auto"/>
          <w:sz w:val="32"/>
          <w:szCs w:val="32"/>
          <w:lang w:val="zh-CN"/>
        </w:rPr>
        <w:t>新获国家级五钻、四钻、三钻酒家（酒店）认定的，分别一次性奖励10万元、5万元、3万元；新获国家级五叶、四叶、三叶绿色饭店认定的，分别一次性奖励10万元、5万元、3万元。新获行业权威荣誉称号，经区政府专题会议讨论决定给予3万元奖励。新获得国家绿色商场荣誉称号的商场，给予</w:t>
      </w:r>
      <w:r>
        <w:rPr>
          <w:rFonts w:hint="eastAsia" w:ascii="仿宋_GB2312" w:eastAsia="仿宋_GB2312" w:cs="仿宋_GB2312"/>
          <w:color w:val="auto"/>
          <w:sz w:val="32"/>
          <w:szCs w:val="32"/>
        </w:rPr>
        <w:t>一次性</w:t>
      </w:r>
      <w:r>
        <w:rPr>
          <w:rFonts w:hint="eastAsia" w:ascii="仿宋_GB2312" w:eastAsia="仿宋_GB2312" w:cs="仿宋_GB2312"/>
          <w:color w:val="auto"/>
          <w:sz w:val="32"/>
          <w:szCs w:val="32"/>
          <w:lang w:val="zh-CN"/>
        </w:rPr>
        <w:t>奖励10万元。</w:t>
      </w:r>
    </w:p>
    <w:p>
      <w:pPr>
        <w:spacing w:line="580" w:lineRule="exact"/>
        <w:ind w:firstLine="640" w:firstLineChars="200"/>
        <w:rPr>
          <w:rFonts w:ascii="黑体" w:eastAsia="黑体" w:cs="仿宋_GB2312"/>
          <w:color w:val="auto"/>
          <w:sz w:val="32"/>
          <w:szCs w:val="32"/>
        </w:rPr>
      </w:pPr>
      <w:r>
        <w:rPr>
          <w:rFonts w:hint="eastAsia" w:ascii="黑体" w:eastAsia="黑体" w:cs="仿宋_GB2312"/>
          <w:color w:val="auto"/>
          <w:sz w:val="32"/>
          <w:szCs w:val="32"/>
        </w:rPr>
        <w:t>七、附则</w:t>
      </w:r>
    </w:p>
    <w:p>
      <w:pPr>
        <w:spacing w:line="58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lang w:val="en-US" w:eastAsia="zh-CN"/>
        </w:rPr>
        <w:t>30</w:t>
      </w:r>
      <w:r>
        <w:rPr>
          <w:rFonts w:hint="eastAsia" w:ascii="楷体_GB2312" w:eastAsia="楷体_GB2312" w:cs="楷体_GB2312"/>
          <w:color w:val="auto"/>
          <w:sz w:val="32"/>
          <w:szCs w:val="32"/>
          <w:lang w:val="zh-CN"/>
        </w:rPr>
        <w:t>．</w:t>
      </w:r>
      <w:r>
        <w:rPr>
          <w:rFonts w:hint="eastAsia" w:ascii="仿宋_GB2312" w:eastAsia="仿宋_GB2312" w:cs="仿宋_GB2312"/>
          <w:color w:val="auto"/>
          <w:sz w:val="32"/>
          <w:szCs w:val="32"/>
          <w:lang w:val="zh-CN"/>
        </w:rPr>
        <w:t>区级商务专项资金兑现实施总额控制。</w:t>
      </w:r>
      <w:r>
        <w:rPr>
          <w:rFonts w:hint="eastAsia" w:ascii="仿宋_GB2312" w:eastAsia="仿宋_GB2312" w:cs="仿宋_GB2312"/>
          <w:color w:val="auto"/>
          <w:sz w:val="32"/>
          <w:szCs w:val="32"/>
        </w:rPr>
        <w:t>本意见内</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第1条和第13条、第2条和第14条可重复享受，其余条款</w:t>
      </w:r>
      <w:r>
        <w:rPr>
          <w:rFonts w:hint="eastAsia" w:ascii="仿宋_GB2312" w:eastAsia="仿宋_GB2312" w:cs="仿宋_GB2312"/>
          <w:color w:val="auto"/>
          <w:sz w:val="32"/>
          <w:szCs w:val="32"/>
        </w:rPr>
        <w:t>同一</w:t>
      </w:r>
      <w:r>
        <w:rPr>
          <w:rFonts w:hint="eastAsia" w:ascii="仿宋_GB2312" w:eastAsia="仿宋_GB2312" w:cs="仿宋_GB2312"/>
          <w:color w:val="auto"/>
          <w:sz w:val="32"/>
          <w:szCs w:val="32"/>
          <w:lang w:val="en-US" w:eastAsia="zh-CN"/>
        </w:rPr>
        <w:t>事</w:t>
      </w:r>
      <w:r>
        <w:rPr>
          <w:rFonts w:hint="eastAsia" w:ascii="仿宋_GB2312" w:eastAsia="仿宋_GB2312" w:cs="仿宋_GB2312"/>
          <w:color w:val="auto"/>
          <w:sz w:val="32"/>
          <w:szCs w:val="32"/>
        </w:rPr>
        <w:t>项不重复享受补助，</w:t>
      </w:r>
      <w:r>
        <w:rPr>
          <w:rFonts w:ascii="仿宋_GB2312" w:eastAsia="仿宋_GB2312" w:cs="仿宋_GB2312"/>
          <w:color w:val="auto"/>
          <w:sz w:val="32"/>
          <w:szCs w:val="32"/>
        </w:rPr>
        <w:t>同一事项已享受区内其他奖励扶持政策的，不再享受本意见所涉奖励扶持政策</w:t>
      </w:r>
      <w:r>
        <w:rPr>
          <w:rFonts w:hint="eastAsia" w:ascii="仿宋_GB2312" w:eastAsia="仿宋_GB2312" w:cs="仿宋_GB2312"/>
          <w:color w:val="auto"/>
          <w:sz w:val="32"/>
          <w:szCs w:val="32"/>
        </w:rPr>
        <w:t>。所涉及的进出口实绩以海关统计数据为准，</w:t>
      </w:r>
      <w:r>
        <w:rPr>
          <w:rFonts w:ascii="仿宋_GB2312" w:eastAsia="仿宋_GB2312" w:cs="仿宋_GB2312"/>
          <w:color w:val="auto"/>
          <w:sz w:val="32"/>
          <w:szCs w:val="32"/>
        </w:rPr>
        <w:t>商贸企业均不含产业活动单位及个体单位</w:t>
      </w:r>
      <w:r>
        <w:rPr>
          <w:rFonts w:hint="eastAsia" w:ascii="仿宋_GB2312" w:eastAsia="仿宋_GB2312" w:cs="仿宋_GB2312"/>
          <w:color w:val="auto"/>
          <w:sz w:val="32"/>
          <w:szCs w:val="32"/>
        </w:rPr>
        <w:t>，跨境电子商务进出口实绩以宁波市商务局统计数据为准，电商交易额和网络零售额均以企业开具的增值税发票金额为准</w:t>
      </w:r>
      <w:r>
        <w:rPr>
          <w:rFonts w:ascii="仿宋_GB2312" w:eastAsia="仿宋_GB2312" w:cs="仿宋_GB2312"/>
          <w:color w:val="auto"/>
          <w:sz w:val="32"/>
          <w:szCs w:val="32"/>
        </w:rPr>
        <w:t>。</w:t>
      </w:r>
    </w:p>
    <w:p>
      <w:pPr>
        <w:spacing w:line="580" w:lineRule="exact"/>
        <w:ind w:firstLine="684" w:firstLineChars="214"/>
        <w:rPr>
          <w:rFonts w:ascii="仿宋_GB2312" w:eastAsia="仿宋_GB2312" w:cs="仿宋_GB2312"/>
          <w:color w:val="auto"/>
          <w:sz w:val="32"/>
          <w:szCs w:val="32"/>
        </w:rPr>
      </w:pPr>
      <w:r>
        <w:rPr>
          <w:rFonts w:hint="eastAsia" w:ascii="仿宋_GB2312" w:eastAsia="仿宋_GB2312" w:cs="仿宋_GB2312"/>
          <w:color w:val="auto"/>
          <w:sz w:val="32"/>
          <w:szCs w:val="32"/>
          <w:lang w:val="en-US" w:eastAsia="zh-CN"/>
        </w:rPr>
        <w:t>31</w:t>
      </w:r>
      <w:r>
        <w:rPr>
          <w:rFonts w:hint="eastAsia" w:ascii="仿宋_GB2312" w:eastAsia="仿宋_GB2312" w:cs="仿宋_GB2312"/>
          <w:color w:val="auto"/>
          <w:sz w:val="32"/>
          <w:szCs w:val="32"/>
        </w:rPr>
        <w:t>. 根据财政拨付体制，本意见适用于在江北区域内注册设立、独立核算的企业。</w:t>
      </w:r>
    </w:p>
    <w:p>
      <w:pPr>
        <w:spacing w:line="580" w:lineRule="exact"/>
        <w:ind w:firstLine="684" w:firstLineChars="214"/>
        <w:rPr>
          <w:rFonts w:ascii="仿宋_GB2312" w:hAnsi="宋体" w:eastAsia="仿宋_GB2312" w:cs="宋体"/>
          <w:color w:val="auto"/>
          <w:kern w:val="0"/>
          <w:sz w:val="32"/>
          <w:szCs w:val="32"/>
        </w:rPr>
      </w:pPr>
      <w:r>
        <w:rPr>
          <w:rFonts w:hint="eastAsia" w:ascii="仿宋_GB2312" w:eastAsia="仿宋_GB2312" w:cs="仿宋_GB2312"/>
          <w:color w:val="auto"/>
          <w:sz w:val="32"/>
          <w:szCs w:val="32"/>
          <w:lang w:val="en-US" w:eastAsia="zh-CN"/>
        </w:rPr>
        <w:t>32</w:t>
      </w:r>
      <w:r>
        <w:rPr>
          <w:rFonts w:hint="eastAsia" w:ascii="仿宋_GB2312" w:eastAsia="仿宋_GB2312" w:cs="仿宋_GB2312"/>
          <w:color w:val="auto"/>
          <w:sz w:val="32"/>
          <w:szCs w:val="32"/>
        </w:rPr>
        <w:t xml:space="preserve">. </w:t>
      </w:r>
      <w:r>
        <w:rPr>
          <w:rFonts w:hint="eastAsia" w:ascii="仿宋_GB2312" w:hAnsi="宋体" w:eastAsia="仿宋_GB2312" w:cs="宋体"/>
          <w:color w:val="auto"/>
          <w:kern w:val="0"/>
          <w:sz w:val="32"/>
          <w:szCs w:val="32"/>
        </w:rPr>
        <w:t>凡有下列情形之一者，取消其政策享受资格：</w:t>
      </w: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（1）申报时提供虚假材料的；</w:t>
      </w: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（2）有严重违反市场经济秩序行为或其他严重违法行为造成恶劣社会影响的；</w:t>
      </w: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（3）在安全生产或文明城市创建中发生</w:t>
      </w:r>
      <w:r>
        <w:rPr>
          <w:rFonts w:hint="eastAsia" w:ascii="仿宋_GB2312" w:hAnsi="宋体" w:eastAsia="仿宋_GB2312" w:cs="宋体"/>
          <w:color w:val="auto"/>
          <w:kern w:val="0"/>
          <w:sz w:val="32"/>
          <w:szCs w:val="32"/>
          <w:lang w:val="en-US" w:eastAsia="zh-CN"/>
        </w:rPr>
        <w:t>违法违规责任事件</w:t>
      </w:r>
      <w:r>
        <w:rPr>
          <w:rFonts w:hint="eastAsia" w:ascii="仿宋_GB2312" w:hAnsi="宋体" w:eastAsia="仿宋_GB2312" w:cs="宋体"/>
          <w:color w:val="auto"/>
          <w:kern w:val="0"/>
          <w:sz w:val="32"/>
          <w:szCs w:val="32"/>
        </w:rPr>
        <w:t>的。</w:t>
      </w:r>
    </w:p>
    <w:p>
      <w:pPr>
        <w:spacing w:line="580" w:lineRule="exact"/>
        <w:ind w:firstLine="640" w:firstLineChars="200"/>
        <w:rPr>
          <w:rFonts w:hint="eastAsia" w:ascii="仿宋_GB2312" w:eastAsia="仿宋_GB2312" w:cs="仿宋_GB2312"/>
          <w:color w:val="auto"/>
          <w:sz w:val="32"/>
          <w:szCs w:val="32"/>
        </w:rPr>
      </w:pPr>
      <w:r>
        <w:rPr>
          <w:rFonts w:hint="eastAsia" w:ascii="楷体_GB2312" w:eastAsia="楷体_GB2312" w:cs="楷体_GB2312"/>
          <w:color w:val="auto"/>
          <w:sz w:val="32"/>
          <w:szCs w:val="32"/>
          <w:lang w:val="en-US" w:eastAsia="zh-CN"/>
        </w:rPr>
        <w:t>33</w:t>
      </w:r>
      <w:r>
        <w:rPr>
          <w:rFonts w:hint="eastAsia" w:ascii="楷体_GB2312" w:eastAsia="楷体_GB2312" w:cs="楷体_GB2312"/>
          <w:color w:val="auto"/>
          <w:sz w:val="32"/>
          <w:szCs w:val="32"/>
        </w:rPr>
        <w:t xml:space="preserve">. </w:t>
      </w:r>
      <w:r>
        <w:rPr>
          <w:rFonts w:hint="eastAsia" w:ascii="仿宋_GB2312" w:eastAsia="仿宋_GB2312" w:cs="仿宋_GB2312"/>
          <w:color w:val="auto"/>
          <w:sz w:val="32"/>
          <w:szCs w:val="32"/>
        </w:rPr>
        <w:t>本意见自</w:t>
      </w:r>
      <w:r>
        <w:rPr>
          <w:rFonts w:ascii="仿宋_GB2312" w:eastAsia="仿宋_GB2312" w:cs="仿宋_GB2312"/>
          <w:color w:val="auto"/>
          <w:sz w:val="32"/>
          <w:szCs w:val="32"/>
        </w:rPr>
        <w:t>20</w:t>
      </w:r>
      <w:r>
        <w:rPr>
          <w:rFonts w:hint="eastAsia" w:ascii="仿宋_GB2312" w:eastAsia="仿宋_GB2312" w:cs="仿宋_GB2312"/>
          <w:color w:val="auto"/>
          <w:sz w:val="32"/>
          <w:szCs w:val="32"/>
        </w:rPr>
        <w:t>20年  月  日起施行</w:t>
      </w:r>
      <w:r>
        <w:rPr>
          <w:rFonts w:hint="eastAsia" w:ascii="仿宋_GB2312" w:hAnsi="仿宋_GB2312" w:eastAsia="仿宋_GB2312" w:cs="仿宋_GB2312"/>
          <w:color w:val="auto"/>
          <w:sz w:val="32"/>
          <w:szCs w:val="32"/>
        </w:rPr>
        <w:t>（2020年1月1日至2020年  月  日参照此意见执行）</w:t>
      </w:r>
      <w:r>
        <w:rPr>
          <w:rFonts w:hint="eastAsia" w:ascii="仿宋_GB2312" w:eastAsia="仿宋_GB2312" w:cs="仿宋_GB2312"/>
          <w:color w:val="auto"/>
          <w:sz w:val="32"/>
          <w:szCs w:val="32"/>
        </w:rPr>
        <w:t>。《宁波市江北区人民政府办公室关于促进商务经济发展的若干意见》（北区政办发〔2017〕44号）、《宁波市江北区人民政府关于促进电子商务发展的若干意见》（北区政发〔2017〕45号）、《宁波市江北区人民政府关于促进商务经济发展政策的补充意见》（北区政发〔2018〕7号）、《宁波市江北区人民政府关于推进跨境电子商务发展的若干意见》（北区政发〔2018〕8号）同时废止。如遇上级政策发生重大变化，本意见做相应调整、完善和补充。</w:t>
      </w:r>
    </w:p>
    <w:p>
      <w:pPr>
        <w:pStyle w:val="2"/>
        <w:rPr>
          <w:rFonts w:hint="eastAsia" w:ascii="仿宋_GB2312" w:cs="仿宋_GB2312"/>
          <w:color w:val="auto"/>
          <w:sz w:val="32"/>
          <w:szCs w:val="32"/>
          <w:lang w:val="en-US" w:eastAsia="zh-CN"/>
        </w:rPr>
      </w:pPr>
      <w:r>
        <w:rPr>
          <w:rFonts w:hint="eastAsia" w:ascii="仿宋_GB2312" w:cs="仿宋_GB2312"/>
          <w:color w:val="auto"/>
          <w:sz w:val="32"/>
          <w:szCs w:val="32"/>
          <w:lang w:val="en-US" w:eastAsia="zh-CN"/>
        </w:rPr>
        <w:t>34.本政策由江北区商务局、江北区财政局负责解释。</w:t>
      </w:r>
    </w:p>
    <w:p>
      <w:pPr>
        <w:pStyle w:val="2"/>
        <w:rPr>
          <w:rFonts w:hint="default" w:ascii="仿宋_GB2312" w:cs="仿宋_GB2312"/>
          <w:color w:val="auto"/>
          <w:sz w:val="32"/>
          <w:szCs w:val="32"/>
          <w:lang w:val="en-US" w:eastAsia="zh-CN"/>
        </w:rPr>
      </w:pPr>
    </w:p>
    <w:p>
      <w:pPr>
        <w:spacing w:line="58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附件、江北区外贸实力效益工程实施办法</w:t>
      </w:r>
      <w:r>
        <w:rPr>
          <w:rFonts w:hint="eastAsia" w:ascii="仿宋_GB2312" w:eastAsia="仿宋_GB2312" w:cs="仿宋_GB2312"/>
          <w:color w:val="auto"/>
          <w:sz w:val="32"/>
          <w:szCs w:val="32"/>
          <w:lang w:eastAsia="zh-CN"/>
        </w:rPr>
        <w:t>。</w:t>
      </w:r>
    </w:p>
    <w:p>
      <w:pPr>
        <w:spacing w:line="580" w:lineRule="exact"/>
        <w:rPr>
          <w:rFonts w:ascii="仿宋_GB2312" w:eastAsia="仿宋_GB2312" w:cs="仿宋_GB2312"/>
          <w:color w:val="auto"/>
          <w:sz w:val="32"/>
          <w:szCs w:val="32"/>
        </w:rPr>
        <w:sectPr>
          <w:pgSz w:w="11906" w:h="16838"/>
          <w:pgMar w:top="1440" w:right="1800" w:bottom="1440" w:left="1800" w:header="851" w:footer="992" w:gutter="0"/>
          <w:cols w:space="425" w:num="1"/>
          <w:docGrid w:type="lines" w:linePitch="312" w:charSpace="0"/>
        </w:sectPr>
      </w:pPr>
    </w:p>
    <w:p>
      <w:pPr>
        <w:spacing w:line="600" w:lineRule="exact"/>
        <w:rPr>
          <w:rFonts w:ascii="黑体" w:hAnsi="黑体" w:eastAsia="黑体"/>
          <w:bCs/>
          <w:color w:val="auto"/>
          <w:sz w:val="32"/>
          <w:szCs w:val="32"/>
        </w:rPr>
      </w:pPr>
      <w:r>
        <w:rPr>
          <w:rFonts w:hint="eastAsia" w:ascii="黑体" w:hAnsi="黑体" w:eastAsia="黑体"/>
          <w:bCs/>
          <w:color w:val="auto"/>
          <w:sz w:val="32"/>
          <w:szCs w:val="32"/>
        </w:rPr>
        <w:t>附件：</w:t>
      </w:r>
    </w:p>
    <w:p>
      <w:pPr>
        <w:spacing w:line="580" w:lineRule="exact"/>
        <w:jc w:val="center"/>
        <w:rPr>
          <w:rFonts w:eastAsia="方正小标宋简体" w:cs="宋体"/>
          <w:bCs/>
          <w:color w:val="auto"/>
          <w:kern w:val="0"/>
          <w:sz w:val="44"/>
          <w:szCs w:val="44"/>
        </w:rPr>
      </w:pPr>
      <w:r>
        <w:rPr>
          <w:rFonts w:hint="eastAsia" w:eastAsia="方正小标宋简体" w:cs="宋体"/>
          <w:bCs/>
          <w:color w:val="auto"/>
          <w:kern w:val="0"/>
          <w:sz w:val="44"/>
          <w:szCs w:val="44"/>
        </w:rPr>
        <w:t>江北区外贸实力效益工程实施办法（</w:t>
      </w:r>
      <w:r>
        <w:rPr>
          <w:rFonts w:hint="eastAsia" w:ascii="仿宋_GB2312" w:hAnsi="仿宋_GB2312" w:eastAsia="仿宋_GB2312" w:cs="仿宋_GB2312"/>
          <w:bCs/>
          <w:color w:val="auto"/>
          <w:kern w:val="0"/>
          <w:sz w:val="44"/>
          <w:szCs w:val="44"/>
        </w:rPr>
        <w:t>2020-2022</w:t>
      </w:r>
      <w:r>
        <w:rPr>
          <w:rFonts w:hint="eastAsia" w:eastAsia="方正小标宋简体" w:cs="宋体"/>
          <w:bCs/>
          <w:color w:val="auto"/>
          <w:kern w:val="0"/>
          <w:sz w:val="44"/>
          <w:szCs w:val="44"/>
        </w:rPr>
        <w:t>）</w:t>
      </w:r>
    </w:p>
    <w:p>
      <w:pPr>
        <w:spacing w:line="580" w:lineRule="exact"/>
        <w:jc w:val="center"/>
        <w:rPr>
          <w:rFonts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（初稿）</w:t>
      </w:r>
    </w:p>
    <w:p>
      <w:pPr>
        <w:spacing w:line="580" w:lineRule="exact"/>
        <w:jc w:val="center"/>
        <w:rPr>
          <w:rFonts w:ascii="楷体_GB2312" w:hAnsi="楷体_GB2312" w:eastAsia="楷体_GB2312" w:cs="楷体_GB2312"/>
          <w:bCs/>
          <w:color w:val="auto"/>
          <w:kern w:val="0"/>
          <w:sz w:val="32"/>
          <w:szCs w:val="32"/>
        </w:rPr>
      </w:pP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为推进落实宁波市“225”外贸双万亿行动和江北区外贸“123”行动，做大做强外贸企业，加快外贸转型升级,推动外贸稳中提质，开展江北区外贸实力效益工程，特制订本办法。</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一、培育范围</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从全区外贸企业中遴选不超过20家，作为区级外贸实力效益企业，制定相关扶持政策，予以重点培育。</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二、评选原则</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1.企业应自愿参评，并自愿履行约定义务。</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2.兼顾规模、突出效益，注重企业进出口、出口贡献。</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三、评选条件</w:t>
      </w:r>
    </w:p>
    <w:p>
      <w:pPr>
        <w:spacing w:line="58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（一）参评条件</w:t>
      </w: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1.企业在江北区行政区域内登记注册、具有独立法人资格，依法经营，诚实守信，近两年无严重违法行为。</w:t>
      </w: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2.企业2019年进出口额3亿元以上或出口额2亿元以上，上年度缴纳税费总额100万元以上，对全区经济带动力强。</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3.企业未来三年有切实可行的发展目标和发展措施，且预计未来三年的进出口、出口在全区的份额有所提升。</w:t>
      </w:r>
    </w:p>
    <w:p>
      <w:pPr>
        <w:spacing w:line="580" w:lineRule="exact"/>
        <w:ind w:firstLine="640"/>
        <w:jc w:val="left"/>
        <w:rPr>
          <w:rFonts w:ascii="仿宋_GB2312" w:hAnsi="宋体" w:eastAsia="仿宋_GB2312" w:cs="宋体"/>
          <w:color w:val="auto"/>
          <w:kern w:val="0"/>
          <w:sz w:val="32"/>
          <w:szCs w:val="32"/>
        </w:rPr>
      </w:pPr>
      <w:r>
        <w:rPr>
          <w:rFonts w:hint="eastAsia" w:ascii="楷体_GB2312" w:hAnsi="楷体_GB2312" w:eastAsia="楷体_GB2312" w:cs="楷体_GB2312"/>
          <w:color w:val="auto"/>
          <w:kern w:val="0"/>
          <w:sz w:val="32"/>
          <w:szCs w:val="32"/>
        </w:rPr>
        <w:t>（二）关联企业数据合并条件</w:t>
      </w:r>
    </w:p>
    <w:p>
      <w:pPr>
        <w:spacing w:line="580" w:lineRule="exact"/>
        <w:ind w:firstLine="640"/>
        <w:jc w:val="left"/>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1．企业合并数据的范围。</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企业合并数据时应同时符合以下</w:t>
      </w:r>
      <w:r>
        <w:rPr>
          <w:rFonts w:ascii="仿宋_GB2312" w:hAnsi="宋体" w:eastAsia="仿宋_GB2312" w:cs="宋体"/>
          <w:color w:val="auto"/>
          <w:kern w:val="0"/>
          <w:sz w:val="32"/>
          <w:szCs w:val="32"/>
        </w:rPr>
        <w:t xml:space="preserve">条件： </w:t>
      </w:r>
    </w:p>
    <w:p>
      <w:pPr>
        <w:spacing w:line="58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 xml:space="preserve">（1）合并企业与被合并企业均应注册在江北区，具有法人资格、独立核算。 </w:t>
      </w:r>
    </w:p>
    <w:p>
      <w:pPr>
        <w:spacing w:line="58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 xml:space="preserve">（2）合并企业与被合并企业按《企业会计准则第33号——合并财务报表》相关规定，可合并财务报表。 </w:t>
      </w:r>
    </w:p>
    <w:p>
      <w:pPr>
        <w:spacing w:line="580" w:lineRule="exact"/>
        <w:ind w:firstLine="640"/>
        <w:jc w:val="left"/>
        <w:rPr>
          <w:rFonts w:ascii="仿宋_GB2312" w:hAnsi="宋体" w:eastAsia="仿宋_GB2312" w:cs="宋体"/>
          <w:color w:val="auto"/>
          <w:kern w:val="0"/>
          <w:sz w:val="32"/>
          <w:szCs w:val="32"/>
        </w:rPr>
      </w:pPr>
      <w:r>
        <w:rPr>
          <w:rFonts w:ascii="仿宋_GB2312" w:hAnsi="宋体" w:eastAsia="仿宋_GB2312" w:cs="宋体"/>
          <w:b/>
          <w:bCs/>
          <w:color w:val="auto"/>
          <w:kern w:val="0"/>
          <w:sz w:val="32"/>
          <w:szCs w:val="32"/>
        </w:rPr>
        <w:t>2．企业合并数据原则</w:t>
      </w:r>
    </w:p>
    <w:p>
      <w:pPr>
        <w:spacing w:line="58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 xml:space="preserve">（1）采取企业自愿合并原则。若企业自愿合并数据，则所有符合条件的被合并企业数据须同时合并。 </w:t>
      </w:r>
    </w:p>
    <w:p>
      <w:pPr>
        <w:spacing w:line="58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（2）合并时，经济指标数据可以实行累加计算。合并后企业的各项累计经济指标数据仅作为“江北区外贸实力效益</w:t>
      </w:r>
      <w:r>
        <w:rPr>
          <w:rFonts w:hint="eastAsia" w:ascii="仿宋_GB2312" w:hAnsi="宋体" w:eastAsia="仿宋_GB2312" w:cs="宋体"/>
          <w:color w:val="auto"/>
          <w:kern w:val="0"/>
          <w:sz w:val="32"/>
          <w:szCs w:val="32"/>
        </w:rPr>
        <w:t>企业</w:t>
      </w:r>
      <w:r>
        <w:rPr>
          <w:rFonts w:ascii="仿宋_GB2312" w:hAnsi="宋体" w:eastAsia="仿宋_GB2312" w:cs="宋体"/>
          <w:color w:val="auto"/>
          <w:kern w:val="0"/>
          <w:sz w:val="32"/>
          <w:szCs w:val="32"/>
        </w:rPr>
        <w:t xml:space="preserve">”的评选依据。 </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四、评分办法</w:t>
      </w:r>
    </w:p>
    <w:p>
      <w:pPr>
        <w:spacing w:line="58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评选指标及评分标准见附件1</w:t>
      </w:r>
      <w:r>
        <w:rPr>
          <w:rFonts w:hint="eastAsia" w:ascii="仿宋_GB2312" w:hAnsi="宋体" w:eastAsia="仿宋_GB2312" w:cs="宋体"/>
          <w:color w:val="auto"/>
          <w:kern w:val="0"/>
          <w:sz w:val="32"/>
          <w:szCs w:val="32"/>
        </w:rPr>
        <w:t>。</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五、评选流程</w:t>
      </w:r>
    </w:p>
    <w:p>
      <w:pPr>
        <w:spacing w:line="580" w:lineRule="exact"/>
        <w:ind w:firstLine="684" w:firstLineChars="214"/>
        <w:rPr>
          <w:rFonts w:ascii="仿宋_GB2312" w:hAnsi="宋体" w:eastAsia="仿宋_GB2312" w:cs="宋体"/>
          <w:color w:val="auto"/>
          <w:kern w:val="0"/>
          <w:sz w:val="32"/>
          <w:szCs w:val="32"/>
        </w:rPr>
      </w:pPr>
      <w:r>
        <w:rPr>
          <w:rFonts w:hint="eastAsia" w:ascii="仿宋_GB2312" w:hAnsi="宋体" w:eastAsia="仿宋_GB2312" w:cs="宋体"/>
          <w:bCs/>
          <w:color w:val="auto"/>
          <w:kern w:val="0"/>
          <w:sz w:val="32"/>
          <w:szCs w:val="32"/>
        </w:rPr>
        <w:t>1.</w:t>
      </w:r>
      <w:r>
        <w:rPr>
          <w:rFonts w:hint="eastAsia" w:ascii="仿宋_GB2312" w:hAnsi="宋体" w:eastAsia="仿宋_GB2312" w:cs="宋体"/>
          <w:color w:val="auto"/>
          <w:kern w:val="0"/>
          <w:sz w:val="32"/>
          <w:szCs w:val="32"/>
        </w:rPr>
        <w:t>符合申报条件的企业可向区商务局提出申请。申请材料包括：</w:t>
      </w:r>
    </w:p>
    <w:p>
      <w:pPr>
        <w:spacing w:line="580" w:lineRule="exact"/>
        <w:ind w:firstLine="684" w:firstLineChars="214"/>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（1）《江北区外贸实力效益企业申报表》（附件2）；</w:t>
      </w:r>
    </w:p>
    <w:p>
      <w:pPr>
        <w:spacing w:line="580" w:lineRule="exact"/>
        <w:ind w:firstLine="684" w:firstLineChars="214"/>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（2）企业荣誉证书复印件或有关证明材料；</w:t>
      </w:r>
    </w:p>
    <w:p>
      <w:pPr>
        <w:spacing w:line="580" w:lineRule="exact"/>
        <w:ind w:firstLine="684" w:firstLineChars="214"/>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（3）其他需要提供的材料。</w:t>
      </w:r>
    </w:p>
    <w:p>
      <w:pPr>
        <w:spacing w:line="580" w:lineRule="exact"/>
        <w:ind w:firstLine="684" w:firstLineChars="214"/>
        <w:rPr>
          <w:rFonts w:ascii="仿宋_GB2312" w:hAnsi="宋体" w:eastAsia="仿宋_GB2312" w:cs="宋体"/>
          <w:b/>
          <w:color w:val="auto"/>
          <w:kern w:val="0"/>
          <w:sz w:val="32"/>
          <w:szCs w:val="32"/>
        </w:rPr>
      </w:pPr>
      <w:r>
        <w:rPr>
          <w:rFonts w:hint="eastAsia" w:ascii="仿宋_GB2312" w:hAnsi="宋体" w:eastAsia="仿宋_GB2312" w:cs="宋体"/>
          <w:bCs/>
          <w:color w:val="auto"/>
          <w:kern w:val="0"/>
          <w:sz w:val="32"/>
          <w:szCs w:val="32"/>
        </w:rPr>
        <w:t>2.</w:t>
      </w:r>
      <w:r>
        <w:rPr>
          <w:rFonts w:hint="eastAsia" w:ascii="仿宋_GB2312" w:hAnsi="宋体" w:eastAsia="仿宋_GB2312" w:cs="宋体"/>
          <w:color w:val="auto"/>
          <w:kern w:val="0"/>
          <w:sz w:val="32"/>
          <w:szCs w:val="32"/>
        </w:rPr>
        <w:t>区商务局收到企业申报材料后，会同区级海关、税务部门按认定条件和评分标准对申报企业进行筛选，初步选出不超过20家外贸企业。</w:t>
      </w:r>
    </w:p>
    <w:p>
      <w:pPr>
        <w:spacing w:line="580" w:lineRule="exact"/>
        <w:ind w:firstLine="684" w:firstLineChars="214"/>
        <w:rPr>
          <w:rFonts w:ascii="仿宋_GB2312" w:hAnsi="宋体" w:eastAsia="仿宋_GB2312" w:cs="宋体"/>
          <w:color w:val="auto"/>
          <w:kern w:val="0"/>
          <w:sz w:val="32"/>
          <w:szCs w:val="32"/>
        </w:rPr>
      </w:pPr>
      <w:r>
        <w:rPr>
          <w:rFonts w:hint="eastAsia" w:ascii="仿宋_GB2312" w:hAnsi="宋体" w:eastAsia="仿宋_GB2312" w:cs="宋体"/>
          <w:bCs/>
          <w:color w:val="auto"/>
          <w:kern w:val="0"/>
          <w:sz w:val="32"/>
          <w:szCs w:val="32"/>
        </w:rPr>
        <w:t>3.</w:t>
      </w:r>
      <w:r>
        <w:rPr>
          <w:rFonts w:hint="eastAsia" w:ascii="仿宋_GB2312" w:hAnsi="宋体" w:eastAsia="仿宋_GB2312" w:cs="宋体"/>
          <w:color w:val="auto"/>
          <w:kern w:val="0"/>
          <w:sz w:val="32"/>
          <w:szCs w:val="32"/>
        </w:rPr>
        <w:t>初选企业确定以后，区商务局在区级相关媒体对初选企业进行公示，公示期7天。公示结束后，没有异议的，认定为江北区外贸实效企业。</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六、扶持政策</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ascii="仿宋_GB2312" w:hAnsi="宋体" w:eastAsia="仿宋_GB2312" w:cs="宋体"/>
          <w:color w:val="auto"/>
          <w:kern w:val="0"/>
          <w:sz w:val="32"/>
          <w:szCs w:val="32"/>
        </w:rPr>
        <w:t>对入选区级外贸实力效益企业，并通过年度考核的企业（即在有效期内年度进出口实绩，</w:t>
      </w:r>
      <w:r>
        <w:rPr>
          <w:rFonts w:hint="eastAsia" w:ascii="仿宋_GB2312" w:hAnsi="宋体" w:eastAsia="仿宋_GB2312" w:cs="宋体"/>
          <w:color w:val="auto"/>
          <w:kern w:val="0"/>
          <w:sz w:val="32"/>
          <w:szCs w:val="32"/>
        </w:rPr>
        <w:t>进出口不低于3亿元或出口不低于2亿元</w:t>
      </w:r>
      <w:r>
        <w:rPr>
          <w:rFonts w:ascii="仿宋_GB2312" w:hAnsi="宋体" w:eastAsia="仿宋_GB2312" w:cs="宋体"/>
          <w:color w:val="auto"/>
          <w:kern w:val="0"/>
          <w:sz w:val="32"/>
          <w:szCs w:val="32"/>
        </w:rPr>
        <w:t>，年度</w:t>
      </w:r>
      <w:r>
        <w:rPr>
          <w:rFonts w:hint="eastAsia" w:ascii="仿宋_GB2312" w:hAnsi="宋体" w:eastAsia="仿宋_GB2312" w:cs="宋体"/>
          <w:color w:val="auto"/>
          <w:kern w:val="0"/>
          <w:sz w:val="32"/>
          <w:szCs w:val="32"/>
        </w:rPr>
        <w:t>进出口、出口</w:t>
      </w:r>
      <w:r>
        <w:rPr>
          <w:rFonts w:ascii="仿宋_GB2312" w:hAnsi="宋体" w:eastAsia="仿宋_GB2312" w:cs="宋体"/>
          <w:color w:val="auto"/>
          <w:kern w:val="0"/>
          <w:sz w:val="32"/>
          <w:szCs w:val="32"/>
        </w:rPr>
        <w:t>增幅保持正增长且不低于全区平均水平），在区级信保、展会政策补助方面给予重点支持。企业享受一般出口信保等保费补助和政府支持性展会补助不与留区所得挂钩，单家企业全年享受各类保费和境内外参展补助上限分别提高至最高150万元和50万元。</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2.对经认定的市级外贸实力效益企业，自动认定为区级外贸实力效益企业。</w:t>
      </w:r>
    </w:p>
    <w:p>
      <w:pPr>
        <w:pStyle w:val="7"/>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3.本办法期间如遇国家、省、市出台新的外贸扶持政策，</w:t>
      </w:r>
      <w:r>
        <w:rPr>
          <w:rFonts w:hint="eastAsia" w:ascii="仿宋_GB2312" w:hAnsi="Times New Roman" w:eastAsia="仿宋_GB2312"/>
          <w:color w:val="auto"/>
          <w:sz w:val="32"/>
          <w:szCs w:val="32"/>
        </w:rPr>
        <w:t>符合条件的</w:t>
      </w:r>
      <w:r>
        <w:rPr>
          <w:rFonts w:hint="eastAsia" w:ascii="仿宋_GB2312" w:hAnsi="仿宋_GB2312" w:eastAsia="仿宋_GB2312" w:cs="仿宋_GB2312"/>
          <w:color w:val="auto"/>
          <w:sz w:val="32"/>
          <w:szCs w:val="32"/>
        </w:rPr>
        <w:t>实效企业优先推荐。</w:t>
      </w:r>
    </w:p>
    <w:p>
      <w:pPr>
        <w:spacing w:line="580" w:lineRule="exact"/>
        <w:ind w:firstLine="64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七、淘汰和递补</w:t>
      </w:r>
    </w:p>
    <w:p>
      <w:pPr>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本轮江北区外贸实力效益工程实施时间为2020年至2022年，期间获评企业若发生重大违法经营行为，或者年度考核不达标，退出区外贸实力效益工程，空缺名额择优递补。</w:t>
      </w:r>
    </w:p>
    <w:p>
      <w:pPr>
        <w:spacing w:line="580" w:lineRule="exact"/>
        <w:ind w:firstLine="640" w:firstLineChars="200"/>
        <w:rPr>
          <w:rFonts w:ascii="仿宋_GB2312" w:hAnsi="宋体" w:eastAsia="仿宋_GB2312" w:cs="宋体"/>
          <w:color w:val="auto"/>
          <w:kern w:val="0"/>
          <w:sz w:val="32"/>
          <w:szCs w:val="32"/>
        </w:rPr>
      </w:pP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：江北区外贸实力效益企业评分细则；</w:t>
      </w:r>
    </w:p>
    <w:p>
      <w:pPr>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附件2：江北区外贸实力效益企业培育申报表。</w:t>
      </w:r>
    </w:p>
    <w:p>
      <w:pPr>
        <w:spacing w:line="580" w:lineRule="exact"/>
        <w:ind w:firstLine="640" w:firstLineChars="200"/>
        <w:rPr>
          <w:rFonts w:ascii="仿宋" w:hAnsi="仿宋" w:eastAsia="仿宋_GB2312"/>
          <w:color w:val="auto"/>
          <w:sz w:val="32"/>
          <w:szCs w:val="32"/>
        </w:rPr>
        <w:sectPr>
          <w:pgSz w:w="11906" w:h="16838"/>
          <w:pgMar w:top="1440" w:right="1800" w:bottom="1440" w:left="1800" w:header="851" w:footer="992" w:gutter="0"/>
          <w:cols w:space="720" w:num="1"/>
          <w:docGrid w:type="lines" w:linePitch="312" w:charSpace="0"/>
        </w:sectPr>
      </w:pPr>
    </w:p>
    <w:p>
      <w:pPr>
        <w:spacing w:line="300" w:lineRule="auto"/>
        <w:rPr>
          <w:rFonts w:ascii="仿宋" w:hAnsi="仿宋" w:eastAsia="仿宋"/>
          <w:color w:val="auto"/>
          <w:sz w:val="32"/>
          <w:szCs w:val="32"/>
        </w:rPr>
      </w:pPr>
      <w:r>
        <w:rPr>
          <w:rFonts w:hint="eastAsia" w:ascii="仿宋" w:hAnsi="仿宋" w:eastAsia="仿宋"/>
          <w:color w:val="auto"/>
          <w:sz w:val="32"/>
          <w:szCs w:val="32"/>
        </w:rPr>
        <w:t>附件</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w:t>
      </w:r>
    </w:p>
    <w:p>
      <w:pPr>
        <w:spacing w:line="500" w:lineRule="exact"/>
        <w:jc w:val="center"/>
        <w:rPr>
          <w:rFonts w:ascii="仿宋_GB2312" w:hAnsi="仿宋_GB2312" w:eastAsia="仿宋_GB2312" w:cs="仿宋_GB2312"/>
          <w:color w:val="auto"/>
          <w:sz w:val="28"/>
          <w:szCs w:val="28"/>
        </w:rPr>
      </w:pPr>
      <w:r>
        <w:rPr>
          <w:rFonts w:hint="eastAsia" w:ascii="方正小标宋简体" w:hAnsi="方正小标宋简体" w:eastAsia="方正小标宋简体" w:cs="方正小标宋简体"/>
          <w:color w:val="auto"/>
          <w:sz w:val="32"/>
          <w:szCs w:val="32"/>
        </w:rPr>
        <w:t>江北区外贸实力效益企业评分细则</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989"/>
        <w:gridCol w:w="904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tcPr>
          <w:p>
            <w:pPr>
              <w:spacing w:line="300" w:lineRule="auto"/>
              <w:jc w:val="center"/>
              <w:rPr>
                <w:rFonts w:ascii="黑体" w:hAnsi="黑体" w:eastAsia="黑体" w:cs="黑体"/>
                <w:color w:val="auto"/>
                <w:sz w:val="24"/>
              </w:rPr>
            </w:pPr>
            <w:r>
              <w:rPr>
                <w:rFonts w:hint="eastAsia" w:ascii="黑体" w:hAnsi="黑体" w:eastAsia="黑体" w:cs="黑体"/>
                <w:color w:val="auto"/>
                <w:sz w:val="24"/>
              </w:rPr>
              <w:t>评分指标</w:t>
            </w:r>
          </w:p>
        </w:tc>
        <w:tc>
          <w:tcPr>
            <w:tcW w:w="989" w:type="dxa"/>
          </w:tcPr>
          <w:p>
            <w:pPr>
              <w:spacing w:line="300" w:lineRule="auto"/>
              <w:jc w:val="center"/>
              <w:rPr>
                <w:rFonts w:ascii="黑体" w:hAnsi="黑体" w:eastAsia="黑体" w:cs="黑体"/>
                <w:color w:val="auto"/>
                <w:sz w:val="24"/>
              </w:rPr>
            </w:pPr>
            <w:r>
              <w:rPr>
                <w:rFonts w:hint="eastAsia" w:ascii="黑体" w:hAnsi="黑体" w:eastAsia="黑体" w:cs="黑体"/>
                <w:color w:val="auto"/>
                <w:sz w:val="24"/>
              </w:rPr>
              <w:t>权重</w:t>
            </w:r>
          </w:p>
        </w:tc>
        <w:tc>
          <w:tcPr>
            <w:tcW w:w="9045" w:type="dxa"/>
          </w:tcPr>
          <w:p>
            <w:pPr>
              <w:spacing w:line="300" w:lineRule="auto"/>
              <w:jc w:val="center"/>
              <w:rPr>
                <w:rFonts w:ascii="黑体" w:hAnsi="黑体" w:eastAsia="黑体" w:cs="黑体"/>
                <w:color w:val="auto"/>
                <w:sz w:val="24"/>
              </w:rPr>
            </w:pPr>
            <w:r>
              <w:rPr>
                <w:rFonts w:hint="eastAsia" w:ascii="黑体" w:hAnsi="黑体" w:eastAsia="黑体" w:cs="黑体"/>
                <w:color w:val="auto"/>
                <w:sz w:val="24"/>
              </w:rPr>
              <w:t>具体评分办法</w:t>
            </w:r>
          </w:p>
        </w:tc>
        <w:tc>
          <w:tcPr>
            <w:tcW w:w="2473" w:type="dxa"/>
          </w:tcPr>
          <w:p>
            <w:pPr>
              <w:spacing w:line="300" w:lineRule="auto"/>
              <w:jc w:val="center"/>
              <w:rPr>
                <w:rFonts w:ascii="黑体" w:hAnsi="黑体" w:eastAsia="黑体" w:cs="黑体"/>
                <w:color w:val="auto"/>
                <w:sz w:val="24"/>
              </w:rPr>
            </w:pPr>
            <w:r>
              <w:rPr>
                <w:rFonts w:hint="eastAsia" w:ascii="黑体" w:hAnsi="黑体" w:eastAsia="黑体" w:cs="黑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spacing w:line="400" w:lineRule="exact"/>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进出口规模</w:t>
            </w:r>
          </w:p>
        </w:tc>
        <w:tc>
          <w:tcPr>
            <w:tcW w:w="989" w:type="dxa"/>
            <w:vAlign w:val="center"/>
          </w:tcPr>
          <w:p>
            <w:pPr>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40%</w:t>
            </w:r>
          </w:p>
        </w:tc>
        <w:tc>
          <w:tcPr>
            <w:tcW w:w="9045"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企业2019年度进出口额达2亿元得50分，超过2亿元每增加2千万元加1分；最高得100分。</w:t>
            </w:r>
          </w:p>
        </w:tc>
        <w:tc>
          <w:tcPr>
            <w:tcW w:w="2473"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进出口规模根据海关提供数据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spacing w:line="400" w:lineRule="exact"/>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进出口增幅</w:t>
            </w:r>
          </w:p>
        </w:tc>
        <w:tc>
          <w:tcPr>
            <w:tcW w:w="989" w:type="dxa"/>
            <w:vAlign w:val="center"/>
          </w:tcPr>
          <w:p>
            <w:pPr>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p>
        </w:tc>
        <w:tc>
          <w:tcPr>
            <w:tcW w:w="9045"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按2018、2019两年进出口平均增幅计算，企业进出口增幅达5%得50分，超过5%每增加1个百分点加1分；最高得100分。</w:t>
            </w:r>
          </w:p>
        </w:tc>
        <w:tc>
          <w:tcPr>
            <w:tcW w:w="2473"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进出口增幅根据海关提供数据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spacing w:line="400" w:lineRule="exact"/>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税收贡献</w:t>
            </w:r>
          </w:p>
        </w:tc>
        <w:tc>
          <w:tcPr>
            <w:tcW w:w="989" w:type="dxa"/>
            <w:vAlign w:val="center"/>
          </w:tcPr>
          <w:p>
            <w:pPr>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p>
        </w:tc>
        <w:tc>
          <w:tcPr>
            <w:tcW w:w="9045"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企业2019年度缴纳税费100万元得50分，超过100万元每增加100万元加1分，最高得100分。</w:t>
            </w:r>
          </w:p>
        </w:tc>
        <w:tc>
          <w:tcPr>
            <w:tcW w:w="2473"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税收入库数根据税务局提供数据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spacing w:line="400" w:lineRule="exact"/>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相关机构评级</w:t>
            </w:r>
          </w:p>
        </w:tc>
        <w:tc>
          <w:tcPr>
            <w:tcW w:w="989" w:type="dxa"/>
            <w:vAlign w:val="center"/>
          </w:tcPr>
          <w:p>
            <w:pPr>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p>
        </w:tc>
        <w:tc>
          <w:tcPr>
            <w:tcW w:w="9045"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信保客户评级，3A等级得30分，2A等级得20分，1A等级得10分；</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纳税信用等级，A等级得30分，B等级得15分；</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企业海关类别，高级认证企业得40分，一般认证企业类得20分。</w:t>
            </w:r>
          </w:p>
        </w:tc>
        <w:tc>
          <w:tcPr>
            <w:tcW w:w="2473"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评级情况由各相关单位提供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spacing w:line="400" w:lineRule="exact"/>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企业专利、国际商标、自主品牌情况</w:t>
            </w:r>
          </w:p>
        </w:tc>
        <w:tc>
          <w:tcPr>
            <w:tcW w:w="989" w:type="dxa"/>
            <w:vAlign w:val="center"/>
          </w:tcPr>
          <w:p>
            <w:pPr>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w:t>
            </w:r>
          </w:p>
        </w:tc>
        <w:tc>
          <w:tcPr>
            <w:tcW w:w="9045"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企业获得的国家高新技术企业证书、国家发明专利、国际商标注册证书（马德里国际商标注册）、国家商标注册证书、省市出口名牌，每个得5分，最高得100分。</w:t>
            </w:r>
          </w:p>
        </w:tc>
        <w:tc>
          <w:tcPr>
            <w:tcW w:w="2473"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企业提供有关证明材料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spacing w:line="400" w:lineRule="exact"/>
              <w:jc w:val="center"/>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总分</w:t>
            </w:r>
          </w:p>
        </w:tc>
        <w:tc>
          <w:tcPr>
            <w:tcW w:w="989" w:type="dxa"/>
            <w:vAlign w:val="center"/>
          </w:tcPr>
          <w:p>
            <w:pPr>
              <w:spacing w:line="40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100%</w:t>
            </w:r>
          </w:p>
        </w:tc>
        <w:tc>
          <w:tcPr>
            <w:tcW w:w="9045" w:type="dxa"/>
            <w:vAlign w:val="center"/>
          </w:tcPr>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总分=进出口规模得分×40%+进出口增幅得分×20%+税收贡献得分×20%+相关机构评级得分×10%+企业荣誉得分×10%</w:t>
            </w:r>
          </w:p>
        </w:tc>
        <w:tc>
          <w:tcPr>
            <w:tcW w:w="2473" w:type="dxa"/>
            <w:vAlign w:val="center"/>
          </w:tcPr>
          <w:p>
            <w:pPr>
              <w:spacing w:line="400" w:lineRule="exact"/>
              <w:rPr>
                <w:rFonts w:asciiTheme="minorEastAsia" w:hAnsiTheme="minorEastAsia" w:eastAsiaTheme="minorEastAsia" w:cstheme="minorEastAsia"/>
                <w:color w:val="auto"/>
                <w:sz w:val="24"/>
              </w:rPr>
            </w:pPr>
          </w:p>
        </w:tc>
      </w:tr>
    </w:tbl>
    <w:p>
      <w:pPr>
        <w:spacing w:line="300" w:lineRule="auto"/>
        <w:rPr>
          <w:rFonts w:hint="eastAsia" w:ascii="仿宋" w:hAnsi="仿宋" w:eastAsia="仿宋"/>
          <w:color w:val="auto"/>
          <w:sz w:val="32"/>
          <w:szCs w:val="32"/>
        </w:rPr>
        <w:sectPr>
          <w:pgSz w:w="16838" w:h="11906" w:orient="landscape"/>
          <w:pgMar w:top="1800" w:right="1440" w:bottom="1800" w:left="1440" w:header="851" w:footer="992" w:gutter="0"/>
          <w:cols w:space="425" w:num="1"/>
          <w:docGrid w:type="lines" w:linePitch="312" w:charSpace="0"/>
        </w:sectPr>
      </w:pPr>
    </w:p>
    <w:p>
      <w:pPr>
        <w:spacing w:line="300" w:lineRule="auto"/>
        <w:rPr>
          <w:rFonts w:ascii="仿宋" w:hAnsi="仿宋" w:eastAsia="仿宋"/>
          <w:color w:val="auto"/>
          <w:sz w:val="32"/>
          <w:szCs w:val="32"/>
        </w:rPr>
      </w:pPr>
      <w:r>
        <w:rPr>
          <w:rFonts w:hint="eastAsia" w:ascii="仿宋" w:hAnsi="仿宋" w:eastAsia="仿宋"/>
          <w:color w:val="auto"/>
          <w:sz w:val="32"/>
          <w:szCs w:val="32"/>
        </w:rPr>
        <w:t>附件2：</w:t>
      </w:r>
    </w:p>
    <w:p>
      <w:pPr>
        <w:spacing w:line="300" w:lineRule="auto"/>
        <w:jc w:val="center"/>
        <w:rPr>
          <w:rFonts w:ascii="黑体" w:hAnsi="华文中宋" w:eastAsia="黑体"/>
          <w:color w:val="auto"/>
          <w:sz w:val="52"/>
          <w:szCs w:val="52"/>
        </w:rPr>
      </w:pPr>
      <w:r>
        <w:rPr>
          <w:rFonts w:hint="eastAsia" w:ascii="黑体" w:hAnsi="华文中宋" w:eastAsia="黑体"/>
          <w:color w:val="auto"/>
          <w:sz w:val="52"/>
          <w:szCs w:val="52"/>
        </w:rPr>
        <w:t>江北区外贸实力效益企业</w:t>
      </w:r>
    </w:p>
    <w:p>
      <w:pPr>
        <w:spacing w:line="300" w:lineRule="auto"/>
        <w:jc w:val="center"/>
        <w:rPr>
          <w:rFonts w:ascii="黑体" w:hAnsi="华文中宋" w:eastAsia="黑体"/>
          <w:color w:val="auto"/>
          <w:sz w:val="52"/>
          <w:szCs w:val="52"/>
        </w:rPr>
      </w:pPr>
      <w:r>
        <w:rPr>
          <w:rFonts w:hint="eastAsia" w:ascii="黑体" w:hAnsi="华文中宋" w:eastAsia="黑体"/>
          <w:color w:val="auto"/>
          <w:sz w:val="52"/>
          <w:szCs w:val="52"/>
        </w:rPr>
        <w:t>申报表</w:t>
      </w:r>
    </w:p>
    <w:p>
      <w:pPr>
        <w:spacing w:line="300" w:lineRule="auto"/>
        <w:ind w:left="424" w:leftChars="202" w:firstLine="330" w:firstLineChars="118"/>
        <w:rPr>
          <w:rFonts w:ascii="仿宋_GB2312" w:eastAsia="仿宋_GB2312"/>
          <w:color w:val="auto"/>
          <w:sz w:val="28"/>
        </w:rPr>
      </w:pPr>
    </w:p>
    <w:p>
      <w:pPr>
        <w:spacing w:line="300" w:lineRule="auto"/>
        <w:ind w:left="424" w:leftChars="202" w:firstLine="424" w:firstLineChars="118"/>
        <w:rPr>
          <w:rFonts w:ascii="宋体" w:hAnsi="宋体"/>
          <w:color w:val="auto"/>
          <w:sz w:val="36"/>
          <w:szCs w:val="36"/>
          <w:u w:val="single"/>
        </w:rPr>
      </w:pPr>
    </w:p>
    <w:p>
      <w:pPr>
        <w:spacing w:line="300" w:lineRule="auto"/>
        <w:rPr>
          <w:rFonts w:ascii="宋体" w:hAnsi="宋体"/>
          <w:color w:val="auto"/>
          <w:sz w:val="36"/>
          <w:szCs w:val="36"/>
        </w:rPr>
      </w:pPr>
    </w:p>
    <w:p>
      <w:pPr>
        <w:spacing w:line="300" w:lineRule="auto"/>
        <w:ind w:left="424" w:leftChars="202" w:firstLine="720" w:firstLineChars="200"/>
        <w:jc w:val="left"/>
        <w:rPr>
          <w:rFonts w:ascii="宋体" w:hAnsi="宋体"/>
          <w:color w:val="auto"/>
          <w:sz w:val="36"/>
          <w:szCs w:val="36"/>
        </w:rPr>
      </w:pPr>
    </w:p>
    <w:p>
      <w:pPr>
        <w:spacing w:line="300" w:lineRule="auto"/>
        <w:ind w:firstLine="900" w:firstLineChars="300"/>
        <w:jc w:val="left"/>
        <w:rPr>
          <w:rFonts w:ascii="黑体" w:hAnsi="宋体" w:eastAsia="黑体"/>
          <w:color w:val="auto"/>
          <w:sz w:val="30"/>
          <w:szCs w:val="30"/>
          <w:u w:val="single"/>
        </w:rPr>
      </w:pPr>
      <w:r>
        <w:rPr>
          <w:rFonts w:hint="eastAsia" w:ascii="黑体" w:hAnsi="宋体" w:eastAsia="黑体"/>
          <w:color w:val="auto"/>
          <w:sz w:val="30"/>
          <w:szCs w:val="30"/>
        </w:rPr>
        <w:t>企业名称（盖章）：</w:t>
      </w:r>
    </w:p>
    <w:p>
      <w:pPr>
        <w:spacing w:line="300" w:lineRule="auto"/>
        <w:ind w:firstLine="900" w:firstLineChars="300"/>
        <w:jc w:val="left"/>
        <w:rPr>
          <w:rFonts w:ascii="黑体" w:hAnsi="宋体" w:eastAsia="黑体"/>
          <w:color w:val="auto"/>
          <w:sz w:val="30"/>
          <w:szCs w:val="30"/>
          <w:u w:val="single"/>
        </w:rPr>
      </w:pPr>
    </w:p>
    <w:p>
      <w:pPr>
        <w:spacing w:line="300" w:lineRule="auto"/>
        <w:ind w:firstLine="900" w:firstLineChars="300"/>
        <w:jc w:val="left"/>
        <w:rPr>
          <w:rFonts w:ascii="黑体" w:hAnsi="宋体" w:eastAsia="黑体"/>
          <w:color w:val="auto"/>
          <w:sz w:val="30"/>
          <w:szCs w:val="30"/>
          <w:u w:val="single"/>
        </w:rPr>
      </w:pPr>
      <w:r>
        <w:rPr>
          <w:rFonts w:hint="eastAsia" w:ascii="黑体" w:hAnsi="宋体" w:eastAsia="黑体"/>
          <w:color w:val="auto"/>
          <w:sz w:val="30"/>
          <w:szCs w:val="30"/>
        </w:rPr>
        <w:t>企业所在区域：</w:t>
      </w:r>
    </w:p>
    <w:p>
      <w:pPr>
        <w:spacing w:line="300" w:lineRule="auto"/>
        <w:ind w:firstLine="900" w:firstLineChars="300"/>
        <w:jc w:val="left"/>
        <w:rPr>
          <w:rFonts w:ascii="黑体" w:hAnsi="宋体" w:eastAsia="黑体"/>
          <w:color w:val="auto"/>
          <w:sz w:val="30"/>
          <w:szCs w:val="30"/>
          <w:u w:val="single"/>
        </w:rPr>
      </w:pPr>
    </w:p>
    <w:p>
      <w:pPr>
        <w:spacing w:line="300" w:lineRule="auto"/>
        <w:ind w:firstLine="900" w:firstLineChars="300"/>
        <w:jc w:val="left"/>
        <w:rPr>
          <w:rFonts w:ascii="黑体" w:hAnsi="宋体" w:eastAsia="黑体"/>
          <w:color w:val="auto"/>
          <w:sz w:val="30"/>
          <w:szCs w:val="30"/>
          <w:u w:val="single"/>
        </w:rPr>
      </w:pPr>
      <w:r>
        <w:rPr>
          <w:rFonts w:hint="eastAsia" w:ascii="黑体" w:hAnsi="宋体" w:eastAsia="黑体"/>
          <w:color w:val="auto"/>
          <w:sz w:val="30"/>
          <w:szCs w:val="30"/>
        </w:rPr>
        <w:t>法定代表人：</w:t>
      </w:r>
    </w:p>
    <w:p>
      <w:pPr>
        <w:spacing w:line="300" w:lineRule="auto"/>
        <w:rPr>
          <w:rFonts w:ascii="黑体" w:hAnsi="宋体" w:eastAsia="黑体"/>
          <w:color w:val="auto"/>
          <w:sz w:val="30"/>
          <w:szCs w:val="30"/>
        </w:rPr>
      </w:pPr>
    </w:p>
    <w:p>
      <w:pPr>
        <w:spacing w:line="300" w:lineRule="auto"/>
        <w:rPr>
          <w:rFonts w:ascii="仿宋_GB2312" w:eastAsia="仿宋_GB2312"/>
          <w:color w:val="auto"/>
          <w:sz w:val="28"/>
        </w:rPr>
      </w:pPr>
    </w:p>
    <w:p>
      <w:pPr>
        <w:spacing w:line="300" w:lineRule="auto"/>
        <w:rPr>
          <w:rFonts w:ascii="仿宋_GB2312" w:eastAsia="仿宋_GB2312"/>
          <w:color w:val="auto"/>
          <w:sz w:val="28"/>
        </w:rPr>
      </w:pPr>
    </w:p>
    <w:p>
      <w:pPr>
        <w:snapToGrid w:val="0"/>
        <w:spacing w:line="300" w:lineRule="auto"/>
        <w:jc w:val="center"/>
        <w:rPr>
          <w:rFonts w:ascii="黑体" w:eastAsia="黑体"/>
          <w:color w:val="auto"/>
          <w:sz w:val="32"/>
          <w:szCs w:val="32"/>
        </w:rPr>
      </w:pPr>
    </w:p>
    <w:p>
      <w:pPr>
        <w:pStyle w:val="3"/>
        <w:ind w:left="5250"/>
        <w:jc w:val="center"/>
        <w:rPr>
          <w:rFonts w:ascii="宋体" w:hAnsi="宋体"/>
          <w:color w:val="auto"/>
          <w:sz w:val="24"/>
        </w:rPr>
      </w:pPr>
    </w:p>
    <w:p>
      <w:pPr>
        <w:rPr>
          <w:color w:val="auto"/>
        </w:rPr>
      </w:pPr>
    </w:p>
    <w:p>
      <w:pPr>
        <w:jc w:val="center"/>
        <w:rPr>
          <w:rFonts w:ascii="楷体_GB2312" w:hAnsi="宋体" w:eastAsia="楷体_GB2312"/>
          <w:color w:val="auto"/>
          <w:spacing w:val="20"/>
          <w:sz w:val="28"/>
          <w:szCs w:val="28"/>
        </w:rPr>
      </w:pPr>
      <w:r>
        <w:rPr>
          <w:rFonts w:hint="eastAsia" w:ascii="楷体_GB2312" w:hAnsi="宋体" w:eastAsia="楷体_GB2312"/>
          <w:color w:val="auto"/>
          <w:spacing w:val="20"/>
          <w:sz w:val="28"/>
          <w:szCs w:val="28"/>
        </w:rPr>
        <w:t xml:space="preserve"> 年  月</w:t>
      </w:r>
    </w:p>
    <w:p>
      <w:pPr>
        <w:jc w:val="center"/>
        <w:rPr>
          <w:rFonts w:ascii="楷体_GB2312" w:hAnsi="宋体" w:eastAsia="楷体_GB2312"/>
          <w:color w:val="auto"/>
          <w:spacing w:val="20"/>
          <w:sz w:val="28"/>
          <w:szCs w:val="28"/>
        </w:rPr>
      </w:pPr>
    </w:p>
    <w:p>
      <w:pPr>
        <w:autoSpaceDE w:val="0"/>
        <w:autoSpaceDN w:val="0"/>
        <w:adjustRightInd w:val="0"/>
        <w:spacing w:beforeLines="100" w:afterLines="100"/>
        <w:rPr>
          <w:rFonts w:ascii="AdobeMingStd-Light-Acro" w:eastAsia="黑体" w:cs="AdobeMingStd-Light-Acro"/>
          <w:b/>
          <w:color w:val="auto"/>
          <w:kern w:val="0"/>
          <w:sz w:val="30"/>
          <w:szCs w:val="32"/>
        </w:rPr>
      </w:pPr>
    </w:p>
    <w:p>
      <w:pPr>
        <w:autoSpaceDE w:val="0"/>
        <w:autoSpaceDN w:val="0"/>
        <w:adjustRightInd w:val="0"/>
        <w:spacing w:beforeLines="100" w:afterLines="100"/>
        <w:rPr>
          <w:rFonts w:ascii="AdobeMingStd-Light-Acro" w:eastAsia="黑体" w:cs="AdobeMingStd-Light-Acro"/>
          <w:b/>
          <w:color w:val="auto"/>
          <w:kern w:val="0"/>
          <w:sz w:val="30"/>
          <w:szCs w:val="32"/>
        </w:rPr>
      </w:pPr>
      <w:r>
        <w:rPr>
          <w:rFonts w:hint="eastAsia" w:ascii="AdobeMingStd-Light-Acro" w:eastAsia="黑体" w:cs="AdobeMingStd-Light-Acro"/>
          <w:b/>
          <w:color w:val="auto"/>
          <w:kern w:val="0"/>
          <w:sz w:val="30"/>
          <w:szCs w:val="32"/>
        </w:rPr>
        <w:t>一、基础信息</w:t>
      </w:r>
    </w:p>
    <w:tbl>
      <w:tblPr>
        <w:tblStyle w:val="4"/>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1"/>
        <w:gridCol w:w="936"/>
        <w:gridCol w:w="1097"/>
        <w:gridCol w:w="786"/>
        <w:gridCol w:w="469"/>
        <w:gridCol w:w="1037"/>
        <w:gridCol w:w="688"/>
        <w:gridCol w:w="374"/>
        <w:gridCol w:w="17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75" w:hRule="atLeast"/>
        </w:trPr>
        <w:tc>
          <w:tcPr>
            <w:tcW w:w="1411"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企业名称</w:t>
            </w:r>
          </w:p>
        </w:tc>
        <w:tc>
          <w:tcPr>
            <w:tcW w:w="7111" w:type="dxa"/>
            <w:gridSpan w:val="8"/>
            <w:vAlign w:val="center"/>
          </w:tcPr>
          <w:p>
            <w:pPr>
              <w:spacing w:line="400" w:lineRule="exact"/>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411"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法人代码</w:t>
            </w:r>
          </w:p>
        </w:tc>
        <w:tc>
          <w:tcPr>
            <w:tcW w:w="2819" w:type="dxa"/>
            <w:gridSpan w:val="3"/>
            <w:tcBorders>
              <w:right w:val="single" w:color="auto" w:sz="4" w:space="0"/>
            </w:tcBorders>
            <w:vAlign w:val="center"/>
          </w:tcPr>
          <w:p>
            <w:pPr>
              <w:widowControl/>
              <w:spacing w:line="400" w:lineRule="exact"/>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　</w:t>
            </w:r>
          </w:p>
          <w:p>
            <w:pPr>
              <w:widowControl/>
              <w:spacing w:line="400" w:lineRule="exact"/>
              <w:rPr>
                <w:rFonts w:ascii="楷体_GB2312" w:hAnsi="宋体" w:eastAsia="楷体_GB2312" w:cs="宋体"/>
                <w:color w:val="auto"/>
                <w:kern w:val="0"/>
                <w:sz w:val="28"/>
                <w:szCs w:val="28"/>
              </w:rPr>
            </w:pPr>
          </w:p>
          <w:p>
            <w:pPr>
              <w:widowControl/>
              <w:spacing w:line="400" w:lineRule="exact"/>
              <w:rPr>
                <w:rFonts w:ascii="楷体_GB2312" w:hAnsi="宋体" w:eastAsia="楷体_GB2312" w:cs="宋体"/>
                <w:color w:val="auto"/>
                <w:kern w:val="0"/>
                <w:sz w:val="28"/>
                <w:szCs w:val="28"/>
              </w:rPr>
            </w:pPr>
          </w:p>
        </w:tc>
        <w:tc>
          <w:tcPr>
            <w:tcW w:w="1506" w:type="dxa"/>
            <w:gridSpan w:val="2"/>
            <w:tcBorders>
              <w:left w:val="single" w:color="auto" w:sz="4" w:space="0"/>
              <w:right w:val="single" w:color="auto" w:sz="4" w:space="0"/>
            </w:tcBorders>
            <w:vAlign w:val="center"/>
          </w:tcPr>
          <w:p>
            <w:pPr>
              <w:widowControl/>
              <w:spacing w:line="400" w:lineRule="exact"/>
              <w:jc w:val="left"/>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海关代码</w:t>
            </w:r>
          </w:p>
        </w:tc>
        <w:tc>
          <w:tcPr>
            <w:tcW w:w="2786" w:type="dxa"/>
            <w:gridSpan w:val="3"/>
            <w:tcBorders>
              <w:left w:val="single" w:color="auto" w:sz="4" w:space="0"/>
            </w:tcBorders>
            <w:vAlign w:val="center"/>
          </w:tcPr>
          <w:p>
            <w:pPr>
              <w:widowControl/>
              <w:spacing w:line="400" w:lineRule="exact"/>
              <w:jc w:val="left"/>
              <w:rPr>
                <w:rFonts w:ascii="楷体_GB2312" w:hAnsi="宋体" w:eastAsia="楷体_GB2312" w:cs="宋体"/>
                <w:color w:val="auto"/>
                <w:kern w:val="0"/>
                <w:sz w:val="28"/>
                <w:szCs w:val="28"/>
              </w:rPr>
            </w:pPr>
          </w:p>
          <w:p>
            <w:pPr>
              <w:widowControl/>
              <w:spacing w:line="400" w:lineRule="exact"/>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7" w:hRule="atLeast"/>
        </w:trPr>
        <w:tc>
          <w:tcPr>
            <w:tcW w:w="1411"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企业注册地址</w:t>
            </w:r>
          </w:p>
        </w:tc>
        <w:tc>
          <w:tcPr>
            <w:tcW w:w="7111" w:type="dxa"/>
            <w:gridSpan w:val="8"/>
            <w:vAlign w:val="center"/>
          </w:tcPr>
          <w:p>
            <w:pPr>
              <w:widowControl/>
              <w:spacing w:line="400" w:lineRule="exact"/>
              <w:rPr>
                <w:rFonts w:ascii="楷体_GB2312" w:hAnsi="宋体" w:eastAsia="楷体_GB2312" w:cs="宋体"/>
                <w:color w:val="auto"/>
                <w:kern w:val="0"/>
                <w:sz w:val="28"/>
                <w:szCs w:val="28"/>
              </w:rPr>
            </w:pPr>
          </w:p>
          <w:p>
            <w:pPr>
              <w:widowControl/>
              <w:spacing w:line="400" w:lineRule="exact"/>
              <w:rPr>
                <w:rFonts w:ascii="楷体_GB2312" w:hAnsi="宋体" w:eastAsia="楷体_GB2312" w:cs="宋体"/>
                <w:color w:val="auto"/>
                <w:kern w:val="0"/>
                <w:sz w:val="28"/>
                <w:szCs w:val="28"/>
              </w:rPr>
            </w:pPr>
          </w:p>
          <w:p>
            <w:pPr>
              <w:widowControl/>
              <w:spacing w:line="400" w:lineRule="exact"/>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trPr>
        <w:tc>
          <w:tcPr>
            <w:tcW w:w="1411"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董事长</w:t>
            </w:r>
          </w:p>
          <w:p>
            <w:pPr>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（或总经理）</w:t>
            </w:r>
          </w:p>
        </w:tc>
        <w:tc>
          <w:tcPr>
            <w:tcW w:w="2819" w:type="dxa"/>
            <w:gridSpan w:val="3"/>
            <w:tcBorders>
              <w:right w:val="single" w:color="auto" w:sz="4" w:space="0"/>
            </w:tcBorders>
            <w:vAlign w:val="center"/>
          </w:tcPr>
          <w:p>
            <w:pPr>
              <w:widowControl/>
              <w:spacing w:line="400" w:lineRule="exact"/>
              <w:rPr>
                <w:rFonts w:ascii="楷体_GB2312" w:hAnsi="宋体" w:eastAsia="楷体_GB2312" w:cs="宋体"/>
                <w:color w:val="auto"/>
                <w:kern w:val="0"/>
                <w:sz w:val="28"/>
                <w:szCs w:val="28"/>
              </w:rPr>
            </w:pPr>
          </w:p>
        </w:tc>
        <w:tc>
          <w:tcPr>
            <w:tcW w:w="1506" w:type="dxa"/>
            <w:gridSpan w:val="2"/>
            <w:tcBorders>
              <w:left w:val="single" w:color="auto" w:sz="4" w:space="0"/>
              <w:right w:val="single" w:color="auto" w:sz="4" w:space="0"/>
            </w:tcBorders>
            <w:vAlign w:val="center"/>
          </w:tcPr>
          <w:p>
            <w:pPr>
              <w:widowControl/>
              <w:spacing w:line="400" w:lineRule="exact"/>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联系方式</w:t>
            </w:r>
          </w:p>
        </w:tc>
        <w:tc>
          <w:tcPr>
            <w:tcW w:w="2786" w:type="dxa"/>
            <w:gridSpan w:val="3"/>
            <w:tcBorders>
              <w:left w:val="single" w:color="auto" w:sz="4" w:space="0"/>
            </w:tcBorders>
            <w:vAlign w:val="center"/>
          </w:tcPr>
          <w:p>
            <w:pPr>
              <w:widowControl/>
              <w:spacing w:line="400" w:lineRule="exact"/>
              <w:jc w:val="center"/>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1411" w:type="dxa"/>
            <w:vMerge w:val="restart"/>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联系人</w:t>
            </w:r>
          </w:p>
        </w:tc>
        <w:tc>
          <w:tcPr>
            <w:tcW w:w="936" w:type="dxa"/>
            <w:vMerge w:val="restart"/>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　</w:t>
            </w:r>
          </w:p>
        </w:tc>
        <w:tc>
          <w:tcPr>
            <w:tcW w:w="1097"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职务</w:t>
            </w:r>
          </w:p>
        </w:tc>
        <w:tc>
          <w:tcPr>
            <w:tcW w:w="5078" w:type="dxa"/>
            <w:gridSpan w:val="6"/>
            <w:vAlign w:val="center"/>
          </w:tcPr>
          <w:p>
            <w:pPr>
              <w:widowControl/>
              <w:spacing w:line="400" w:lineRule="exact"/>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1411" w:type="dxa"/>
            <w:vMerge w:val="continue"/>
            <w:vAlign w:val="center"/>
          </w:tcPr>
          <w:p>
            <w:pPr>
              <w:widowControl/>
              <w:spacing w:line="400" w:lineRule="exact"/>
              <w:jc w:val="left"/>
              <w:rPr>
                <w:rFonts w:ascii="楷体_GB2312" w:hAnsi="宋体" w:eastAsia="楷体_GB2312" w:cs="宋体"/>
                <w:color w:val="auto"/>
                <w:kern w:val="0"/>
                <w:sz w:val="28"/>
                <w:szCs w:val="28"/>
              </w:rPr>
            </w:pPr>
          </w:p>
        </w:tc>
        <w:tc>
          <w:tcPr>
            <w:tcW w:w="936" w:type="dxa"/>
            <w:vMerge w:val="continue"/>
            <w:vAlign w:val="center"/>
          </w:tcPr>
          <w:p>
            <w:pPr>
              <w:widowControl/>
              <w:spacing w:line="400" w:lineRule="exact"/>
              <w:jc w:val="left"/>
              <w:rPr>
                <w:rFonts w:ascii="楷体_GB2312" w:hAnsi="宋体" w:eastAsia="楷体_GB2312" w:cs="宋体"/>
                <w:color w:val="auto"/>
                <w:kern w:val="0"/>
                <w:sz w:val="28"/>
                <w:szCs w:val="28"/>
              </w:rPr>
            </w:pPr>
          </w:p>
        </w:tc>
        <w:tc>
          <w:tcPr>
            <w:tcW w:w="1097"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电话</w:t>
            </w:r>
          </w:p>
        </w:tc>
        <w:tc>
          <w:tcPr>
            <w:tcW w:w="2292" w:type="dxa"/>
            <w:gridSpan w:val="3"/>
            <w:tcBorders>
              <w:right w:val="single" w:color="auto" w:sz="4" w:space="0"/>
            </w:tcBorders>
            <w:vAlign w:val="center"/>
          </w:tcPr>
          <w:p>
            <w:pPr>
              <w:widowControl/>
              <w:spacing w:line="400" w:lineRule="exact"/>
              <w:rPr>
                <w:rFonts w:ascii="楷体_GB2312" w:hAnsi="宋体" w:eastAsia="楷体_GB2312" w:cs="宋体"/>
                <w:color w:val="auto"/>
                <w:kern w:val="0"/>
                <w:sz w:val="28"/>
                <w:szCs w:val="28"/>
              </w:rPr>
            </w:pPr>
          </w:p>
        </w:tc>
        <w:tc>
          <w:tcPr>
            <w:tcW w:w="1062" w:type="dxa"/>
            <w:gridSpan w:val="2"/>
            <w:tcBorders>
              <w:left w:val="single" w:color="auto" w:sz="4" w:space="0"/>
            </w:tcBorders>
            <w:vAlign w:val="center"/>
          </w:tcPr>
          <w:p>
            <w:pPr>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手机</w:t>
            </w:r>
          </w:p>
        </w:tc>
        <w:tc>
          <w:tcPr>
            <w:tcW w:w="1724"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1411" w:type="dxa"/>
            <w:vMerge w:val="continue"/>
            <w:vAlign w:val="center"/>
          </w:tcPr>
          <w:p>
            <w:pPr>
              <w:widowControl/>
              <w:spacing w:line="400" w:lineRule="exact"/>
              <w:jc w:val="left"/>
              <w:rPr>
                <w:rFonts w:ascii="楷体_GB2312" w:hAnsi="宋体" w:eastAsia="楷体_GB2312" w:cs="宋体"/>
                <w:color w:val="auto"/>
                <w:kern w:val="0"/>
                <w:sz w:val="28"/>
                <w:szCs w:val="28"/>
              </w:rPr>
            </w:pPr>
          </w:p>
        </w:tc>
        <w:tc>
          <w:tcPr>
            <w:tcW w:w="936" w:type="dxa"/>
            <w:vMerge w:val="continue"/>
            <w:vAlign w:val="center"/>
          </w:tcPr>
          <w:p>
            <w:pPr>
              <w:widowControl/>
              <w:spacing w:line="400" w:lineRule="exact"/>
              <w:jc w:val="left"/>
              <w:rPr>
                <w:rFonts w:ascii="楷体_GB2312" w:hAnsi="宋体" w:eastAsia="楷体_GB2312" w:cs="宋体"/>
                <w:color w:val="auto"/>
                <w:kern w:val="0"/>
                <w:sz w:val="28"/>
                <w:szCs w:val="28"/>
              </w:rPr>
            </w:pPr>
          </w:p>
        </w:tc>
        <w:tc>
          <w:tcPr>
            <w:tcW w:w="1097"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传真</w:t>
            </w:r>
          </w:p>
        </w:tc>
        <w:tc>
          <w:tcPr>
            <w:tcW w:w="2292" w:type="dxa"/>
            <w:gridSpan w:val="3"/>
            <w:tcBorders>
              <w:right w:val="single" w:color="auto" w:sz="4" w:space="0"/>
            </w:tcBorders>
            <w:vAlign w:val="center"/>
          </w:tcPr>
          <w:p>
            <w:pPr>
              <w:widowControl/>
              <w:spacing w:line="400" w:lineRule="exact"/>
              <w:jc w:val="center"/>
              <w:rPr>
                <w:rFonts w:ascii="楷体_GB2312" w:hAnsi="宋体" w:eastAsia="楷体_GB2312" w:cs="宋体"/>
                <w:color w:val="auto"/>
                <w:kern w:val="0"/>
                <w:sz w:val="28"/>
                <w:szCs w:val="28"/>
              </w:rPr>
            </w:pPr>
          </w:p>
        </w:tc>
        <w:tc>
          <w:tcPr>
            <w:tcW w:w="1062" w:type="dxa"/>
            <w:gridSpan w:val="2"/>
            <w:tcBorders>
              <w:left w:val="single" w:color="auto" w:sz="4" w:space="0"/>
            </w:tcBorders>
            <w:vAlign w:val="center"/>
          </w:tcPr>
          <w:p>
            <w:pPr>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电邮</w:t>
            </w:r>
          </w:p>
        </w:tc>
        <w:tc>
          <w:tcPr>
            <w:tcW w:w="1724" w:type="dxa"/>
            <w:vAlign w:val="center"/>
          </w:tcPr>
          <w:p>
            <w:pPr>
              <w:widowControl/>
              <w:spacing w:line="400" w:lineRule="exact"/>
              <w:jc w:val="center"/>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1411" w:type="dxa"/>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所属行业</w:t>
            </w:r>
          </w:p>
        </w:tc>
        <w:tc>
          <w:tcPr>
            <w:tcW w:w="7111" w:type="dxa"/>
            <w:gridSpan w:val="8"/>
            <w:vAlign w:val="center"/>
          </w:tcPr>
          <w:p>
            <w:pPr>
              <w:widowControl/>
              <w:spacing w:line="400" w:lineRule="exact"/>
              <w:rPr>
                <w:rFonts w:ascii="楷体_GB2312" w:hAnsi="宋体" w:eastAsia="楷体_GB2312"/>
                <w:color w:val="auto"/>
                <w:sz w:val="28"/>
                <w:szCs w:val="28"/>
              </w:rPr>
            </w:pPr>
            <w:r>
              <w:rPr>
                <w:rFonts w:hint="eastAsia" w:ascii="楷体_GB2312" w:hAnsi="宋体" w:eastAsia="楷体_GB2312"/>
                <w:color w:val="auto"/>
                <w:sz w:val="28"/>
                <w:szCs w:val="28"/>
              </w:rPr>
              <w:t xml:space="preserve">机械电子□    纺织服装□    日用消费品□  </w:t>
            </w:r>
          </w:p>
          <w:p>
            <w:pPr>
              <w:widowControl/>
              <w:spacing w:line="400" w:lineRule="exact"/>
              <w:rPr>
                <w:rFonts w:ascii="楷体_GB2312" w:hAnsi="宋体" w:eastAsia="楷体_GB2312"/>
                <w:color w:val="auto"/>
                <w:sz w:val="28"/>
                <w:szCs w:val="28"/>
              </w:rPr>
            </w:pPr>
            <w:r>
              <w:rPr>
                <w:rFonts w:hint="eastAsia" w:ascii="楷体_GB2312" w:hAnsi="宋体" w:eastAsia="楷体_GB2312"/>
                <w:color w:val="auto"/>
                <w:sz w:val="28"/>
                <w:szCs w:val="28"/>
              </w:rPr>
              <w:t>综    合□    其    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411" w:type="dxa"/>
            <w:vMerge w:val="restart"/>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公司创立时间</w:t>
            </w:r>
          </w:p>
        </w:tc>
        <w:tc>
          <w:tcPr>
            <w:tcW w:w="2033" w:type="dxa"/>
            <w:gridSpan w:val="2"/>
            <w:vMerge w:val="restart"/>
            <w:vAlign w:val="center"/>
          </w:tcPr>
          <w:p>
            <w:pPr>
              <w:widowControl/>
              <w:spacing w:line="400" w:lineRule="exact"/>
              <w:ind w:firstLine="280" w:firstLineChars="100"/>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u w:val="single"/>
              </w:rPr>
              <w:t>　</w:t>
            </w:r>
            <w:r>
              <w:rPr>
                <w:rFonts w:hint="eastAsia" w:ascii="楷体_GB2312" w:hAnsi="宋体" w:eastAsia="楷体_GB2312" w:cs="宋体"/>
                <w:color w:val="auto"/>
                <w:kern w:val="0"/>
                <w:sz w:val="28"/>
                <w:szCs w:val="28"/>
              </w:rPr>
              <w:t>年</w:t>
            </w:r>
            <w:r>
              <w:rPr>
                <w:rFonts w:hint="eastAsia" w:ascii="楷体_GB2312" w:hAnsi="宋体" w:eastAsia="楷体_GB2312" w:cs="宋体"/>
                <w:color w:val="auto"/>
                <w:kern w:val="0"/>
                <w:sz w:val="28"/>
                <w:szCs w:val="28"/>
                <w:u w:val="single"/>
              </w:rPr>
              <w:t>　</w:t>
            </w:r>
            <w:r>
              <w:rPr>
                <w:rFonts w:hint="eastAsia" w:ascii="楷体_GB2312" w:hAnsi="宋体" w:eastAsia="楷体_GB2312" w:cs="宋体"/>
                <w:color w:val="auto"/>
                <w:kern w:val="0"/>
                <w:sz w:val="28"/>
                <w:szCs w:val="28"/>
              </w:rPr>
              <w:t>月</w:t>
            </w:r>
            <w:r>
              <w:rPr>
                <w:rFonts w:hint="eastAsia" w:ascii="楷体_GB2312" w:hAnsi="宋体" w:eastAsia="楷体_GB2312" w:cs="宋体"/>
                <w:color w:val="auto"/>
                <w:kern w:val="0"/>
                <w:sz w:val="28"/>
                <w:szCs w:val="28"/>
                <w:u w:val="single"/>
              </w:rPr>
              <w:t>　</w:t>
            </w:r>
            <w:r>
              <w:rPr>
                <w:rFonts w:hint="eastAsia" w:ascii="楷体_GB2312" w:hAnsi="宋体" w:eastAsia="楷体_GB2312" w:cs="宋体"/>
                <w:color w:val="auto"/>
                <w:kern w:val="0"/>
                <w:sz w:val="28"/>
                <w:szCs w:val="28"/>
              </w:rPr>
              <w:t>日</w:t>
            </w:r>
          </w:p>
        </w:tc>
        <w:tc>
          <w:tcPr>
            <w:tcW w:w="1255" w:type="dxa"/>
            <w:gridSpan w:val="2"/>
            <w:vMerge w:val="restart"/>
            <w:tcBorders>
              <w:right w:val="single" w:color="auto" w:sz="4" w:space="0"/>
            </w:tcBorders>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员工情况</w:t>
            </w:r>
          </w:p>
        </w:tc>
        <w:tc>
          <w:tcPr>
            <w:tcW w:w="1725" w:type="dxa"/>
            <w:gridSpan w:val="2"/>
            <w:tcBorders>
              <w:left w:val="single" w:color="auto" w:sz="4" w:space="0"/>
              <w:bottom w:val="single" w:color="auto" w:sz="4" w:space="0"/>
            </w:tcBorders>
            <w:vAlign w:val="center"/>
          </w:tcPr>
          <w:p>
            <w:pPr>
              <w:widowControl/>
              <w:spacing w:line="400" w:lineRule="exact"/>
              <w:jc w:val="center"/>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员工总数</w:t>
            </w:r>
          </w:p>
        </w:tc>
        <w:tc>
          <w:tcPr>
            <w:tcW w:w="2098" w:type="dxa"/>
            <w:gridSpan w:val="2"/>
            <w:tcBorders>
              <w:bottom w:val="single" w:color="auto" w:sz="4" w:space="0"/>
            </w:tcBorders>
            <w:vAlign w:val="center"/>
          </w:tcPr>
          <w:p>
            <w:pPr>
              <w:widowControl/>
              <w:spacing w:line="400" w:lineRule="exact"/>
              <w:ind w:firstLine="570"/>
              <w:jc w:val="center"/>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1411" w:type="dxa"/>
            <w:vMerge w:val="continue"/>
            <w:vAlign w:val="center"/>
          </w:tcPr>
          <w:p>
            <w:pPr>
              <w:widowControl/>
              <w:spacing w:line="400" w:lineRule="exact"/>
              <w:jc w:val="center"/>
              <w:rPr>
                <w:rFonts w:ascii="楷体_GB2312" w:hAnsi="宋体" w:eastAsia="楷体_GB2312" w:cs="宋体"/>
                <w:color w:val="auto"/>
                <w:kern w:val="0"/>
                <w:sz w:val="28"/>
                <w:szCs w:val="28"/>
              </w:rPr>
            </w:pPr>
          </w:p>
        </w:tc>
        <w:tc>
          <w:tcPr>
            <w:tcW w:w="2033" w:type="dxa"/>
            <w:gridSpan w:val="2"/>
            <w:vMerge w:val="continue"/>
            <w:vAlign w:val="center"/>
          </w:tcPr>
          <w:p>
            <w:pPr>
              <w:widowControl/>
              <w:spacing w:line="400" w:lineRule="exact"/>
              <w:ind w:firstLine="570"/>
              <w:jc w:val="center"/>
              <w:rPr>
                <w:rFonts w:ascii="楷体_GB2312" w:hAnsi="宋体" w:eastAsia="楷体_GB2312" w:cs="宋体"/>
                <w:color w:val="auto"/>
                <w:kern w:val="0"/>
                <w:sz w:val="28"/>
                <w:szCs w:val="28"/>
              </w:rPr>
            </w:pPr>
          </w:p>
        </w:tc>
        <w:tc>
          <w:tcPr>
            <w:tcW w:w="1255" w:type="dxa"/>
            <w:gridSpan w:val="2"/>
            <w:vMerge w:val="continue"/>
            <w:tcBorders>
              <w:right w:val="single" w:color="auto" w:sz="4" w:space="0"/>
            </w:tcBorders>
            <w:vAlign w:val="center"/>
          </w:tcPr>
          <w:p>
            <w:pPr>
              <w:widowControl/>
              <w:spacing w:line="400" w:lineRule="exact"/>
              <w:jc w:val="center"/>
              <w:rPr>
                <w:rFonts w:ascii="楷体_GB2312" w:hAnsi="宋体" w:eastAsia="楷体_GB2312" w:cs="宋体"/>
                <w:color w:val="auto"/>
                <w:kern w:val="0"/>
                <w:sz w:val="28"/>
                <w:szCs w:val="28"/>
              </w:rPr>
            </w:pPr>
          </w:p>
        </w:tc>
        <w:tc>
          <w:tcPr>
            <w:tcW w:w="1725" w:type="dxa"/>
            <w:gridSpan w:val="2"/>
            <w:tcBorders>
              <w:top w:val="single" w:color="auto" w:sz="4" w:space="0"/>
              <w:left w:val="single" w:color="auto" w:sz="4" w:space="0"/>
              <w:bottom w:val="single" w:color="auto" w:sz="4" w:space="0"/>
            </w:tcBorders>
            <w:vAlign w:val="center"/>
          </w:tcPr>
          <w:p>
            <w:pPr>
              <w:widowControl/>
              <w:spacing w:line="400" w:lineRule="exact"/>
              <w:jc w:val="center"/>
              <w:rPr>
                <w:rFonts w:ascii="宋体" w:hAnsi="宋体" w:cs="宋体"/>
                <w:color w:val="auto"/>
                <w:kern w:val="0"/>
                <w:sz w:val="28"/>
                <w:szCs w:val="28"/>
              </w:rPr>
            </w:pPr>
            <w:r>
              <w:rPr>
                <w:rFonts w:hint="eastAsia" w:ascii="楷体_GB2312" w:hAnsi="宋体" w:eastAsia="楷体_GB2312" w:cs="宋体"/>
                <w:color w:val="auto"/>
                <w:kern w:val="0"/>
                <w:sz w:val="28"/>
                <w:szCs w:val="28"/>
              </w:rPr>
              <w:t>管理人员</w:t>
            </w:r>
          </w:p>
        </w:tc>
        <w:tc>
          <w:tcPr>
            <w:tcW w:w="2098" w:type="dxa"/>
            <w:gridSpan w:val="2"/>
            <w:tcBorders>
              <w:top w:val="single" w:color="auto" w:sz="4" w:space="0"/>
              <w:bottom w:val="single" w:color="auto" w:sz="4" w:space="0"/>
            </w:tcBorders>
            <w:vAlign w:val="center"/>
          </w:tcPr>
          <w:p>
            <w:pPr>
              <w:widowControl/>
              <w:spacing w:line="400" w:lineRule="exact"/>
              <w:ind w:firstLine="570"/>
              <w:jc w:val="center"/>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trPr>
        <w:tc>
          <w:tcPr>
            <w:tcW w:w="4699" w:type="dxa"/>
            <w:gridSpan w:val="5"/>
            <w:tcBorders>
              <w:right w:val="single" w:color="auto" w:sz="4" w:space="0"/>
            </w:tcBorders>
          </w:tcPr>
          <w:p>
            <w:pPr>
              <w:widowControl/>
              <w:rPr>
                <w:rFonts w:ascii="楷体_GB2312" w:hAnsi="宋体" w:eastAsia="楷体_GB2312"/>
                <w:color w:val="auto"/>
                <w:sz w:val="28"/>
                <w:szCs w:val="28"/>
              </w:rPr>
            </w:pPr>
          </w:p>
          <w:p>
            <w:pPr>
              <w:widowControl/>
              <w:rPr>
                <w:rFonts w:ascii="楷体_GB2312" w:hAnsi="宋体" w:eastAsia="楷体_GB2312"/>
                <w:color w:val="auto"/>
                <w:sz w:val="28"/>
                <w:szCs w:val="28"/>
              </w:rPr>
            </w:pPr>
            <w:r>
              <w:rPr>
                <w:rFonts w:ascii="楷体_GB2312" w:hAnsi="宋体" w:eastAsia="楷体_GB2312"/>
                <w:color w:val="auto"/>
                <w:sz w:val="28"/>
                <w:szCs w:val="28"/>
              </w:rPr>
              <w:t>企业法人代表</w:t>
            </w:r>
            <w:r>
              <w:rPr>
                <w:rFonts w:hint="eastAsia" w:ascii="楷体_GB2312" w:hAnsi="宋体" w:eastAsia="楷体_GB2312"/>
                <w:color w:val="auto"/>
                <w:sz w:val="28"/>
                <w:szCs w:val="28"/>
              </w:rPr>
              <w:t>（或经授权的总经理）</w:t>
            </w:r>
          </w:p>
          <w:p>
            <w:pPr>
              <w:widowControl/>
              <w:rPr>
                <w:rFonts w:ascii="楷体_GB2312" w:hAnsi="宋体" w:eastAsia="楷体_GB2312"/>
                <w:color w:val="auto"/>
                <w:sz w:val="28"/>
                <w:szCs w:val="28"/>
              </w:rPr>
            </w:pPr>
          </w:p>
          <w:p>
            <w:pPr>
              <w:widowControl/>
              <w:rPr>
                <w:rFonts w:ascii="楷体_GB2312" w:hAnsi="宋体" w:eastAsia="楷体_GB2312" w:cs="宋体"/>
                <w:color w:val="auto"/>
                <w:kern w:val="0"/>
                <w:sz w:val="28"/>
                <w:szCs w:val="28"/>
              </w:rPr>
            </w:pPr>
            <w:r>
              <w:rPr>
                <w:rFonts w:ascii="楷体_GB2312" w:hAnsi="宋体" w:eastAsia="楷体_GB2312"/>
                <w:color w:val="auto"/>
                <w:sz w:val="28"/>
                <w:szCs w:val="28"/>
              </w:rPr>
              <w:t>签字：</w:t>
            </w:r>
          </w:p>
        </w:tc>
        <w:tc>
          <w:tcPr>
            <w:tcW w:w="3823" w:type="dxa"/>
            <w:gridSpan w:val="4"/>
            <w:tcBorders>
              <w:top w:val="single" w:color="auto" w:sz="4" w:space="0"/>
              <w:left w:val="single" w:color="auto" w:sz="4" w:space="0"/>
            </w:tcBorders>
          </w:tcPr>
          <w:p>
            <w:pPr>
              <w:widowControl/>
              <w:ind w:firstLine="4760" w:firstLineChars="1700"/>
              <w:rPr>
                <w:rFonts w:ascii="楷体_GB2312" w:hAnsi="宋体" w:eastAsia="楷体_GB2312"/>
                <w:color w:val="auto"/>
                <w:sz w:val="28"/>
                <w:szCs w:val="28"/>
              </w:rPr>
            </w:pPr>
            <w:r>
              <w:rPr>
                <w:rFonts w:ascii="楷体_GB2312" w:hAnsi="宋体" w:eastAsia="楷体_GB2312"/>
                <w:color w:val="auto"/>
                <w:sz w:val="28"/>
                <w:szCs w:val="28"/>
              </w:rPr>
              <w:t>（</w:t>
            </w:r>
            <w:r>
              <w:rPr>
                <w:rFonts w:hint="eastAsia" w:ascii="楷体_GB2312" w:hAnsi="宋体" w:eastAsia="楷体_GB2312"/>
                <w:color w:val="auto"/>
                <w:sz w:val="28"/>
                <w:szCs w:val="28"/>
              </w:rPr>
              <w:t>（</w:t>
            </w:r>
            <w:r>
              <w:rPr>
                <w:rFonts w:ascii="楷体_GB2312" w:hAnsi="宋体" w:eastAsia="楷体_GB2312"/>
                <w:color w:val="auto"/>
                <w:sz w:val="28"/>
                <w:szCs w:val="28"/>
              </w:rPr>
              <w:t>盖章</w:t>
            </w:r>
            <w:r>
              <w:rPr>
                <w:rFonts w:hint="eastAsia" w:ascii="楷体_GB2312" w:hAnsi="宋体" w:eastAsia="楷体_GB2312"/>
                <w:color w:val="auto"/>
                <w:sz w:val="28"/>
                <w:szCs w:val="28"/>
              </w:rPr>
              <w:t>）</w:t>
            </w:r>
          </w:p>
          <w:p>
            <w:pPr>
              <w:widowControl/>
              <w:ind w:firstLine="4760" w:firstLineChars="1700"/>
              <w:jc w:val="right"/>
              <w:rPr>
                <w:rFonts w:ascii="楷体_GB2312" w:hAnsi="宋体" w:eastAsia="楷体_GB2312"/>
                <w:color w:val="auto"/>
                <w:sz w:val="28"/>
                <w:szCs w:val="28"/>
              </w:rPr>
            </w:pPr>
            <w:r>
              <w:rPr>
                <w:rFonts w:ascii="楷体_GB2312" w:hAnsi="宋体" w:eastAsia="楷体_GB2312"/>
                <w:color w:val="auto"/>
                <w:sz w:val="28"/>
                <w:szCs w:val="28"/>
              </w:rPr>
              <w:t>年</w:t>
            </w:r>
            <w:r>
              <w:rPr>
                <w:rFonts w:hint="eastAsia" w:ascii="楷体_GB2312" w:hAnsi="宋体" w:eastAsia="楷体_GB2312"/>
                <w:color w:val="auto"/>
                <w:sz w:val="28"/>
                <w:szCs w:val="28"/>
              </w:rPr>
              <w:t>年</w:t>
            </w:r>
            <w:r>
              <w:rPr>
                <w:rFonts w:ascii="楷体_GB2312" w:hAnsi="宋体" w:eastAsia="楷体_GB2312"/>
                <w:color w:val="auto"/>
                <w:sz w:val="28"/>
                <w:szCs w:val="28"/>
              </w:rPr>
              <w:t xml:space="preserve">  月  日</w:t>
            </w:r>
          </w:p>
          <w:p>
            <w:pPr>
              <w:widowControl/>
              <w:ind w:firstLine="570"/>
              <w:rPr>
                <w:rFonts w:ascii="楷体_GB2312" w:hAnsi="宋体" w:eastAsia="楷体_GB2312" w:cs="宋体"/>
                <w:color w:val="auto"/>
                <w:kern w:val="0"/>
                <w:sz w:val="28"/>
                <w:szCs w:val="28"/>
              </w:rPr>
            </w:pPr>
          </w:p>
        </w:tc>
      </w:tr>
    </w:tbl>
    <w:p>
      <w:pPr>
        <w:autoSpaceDE w:val="0"/>
        <w:autoSpaceDN w:val="0"/>
        <w:adjustRightInd w:val="0"/>
        <w:spacing w:beforeLines="100" w:afterLines="100"/>
        <w:rPr>
          <w:rFonts w:ascii="AdobeMingStd-Light-Acro" w:eastAsia="黑体" w:cs="AdobeMingStd-Light-Acro"/>
          <w:b/>
          <w:color w:val="auto"/>
          <w:kern w:val="0"/>
          <w:sz w:val="30"/>
          <w:szCs w:val="32"/>
        </w:rPr>
      </w:pPr>
    </w:p>
    <w:p>
      <w:pPr>
        <w:autoSpaceDE w:val="0"/>
        <w:autoSpaceDN w:val="0"/>
        <w:adjustRightInd w:val="0"/>
        <w:spacing w:beforeLines="100" w:afterLines="100"/>
        <w:rPr>
          <w:rFonts w:ascii="AdobeMingStd-Light-Acro" w:eastAsia="黑体" w:cs="AdobeMingStd-Light-Acro"/>
          <w:b/>
          <w:color w:val="auto"/>
          <w:kern w:val="0"/>
          <w:sz w:val="30"/>
          <w:szCs w:val="32"/>
        </w:rPr>
      </w:pPr>
      <w:r>
        <w:rPr>
          <w:rFonts w:hint="eastAsia" w:ascii="AdobeMingStd-Light-Acro" w:eastAsia="黑体" w:cs="AdobeMingStd-Light-Acro"/>
          <w:b/>
          <w:color w:val="auto"/>
          <w:kern w:val="0"/>
          <w:sz w:val="30"/>
          <w:szCs w:val="32"/>
        </w:rPr>
        <w:t>二、基本条件</w:t>
      </w:r>
    </w:p>
    <w:tbl>
      <w:tblPr>
        <w:tblStyle w:val="4"/>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4"/>
        <w:gridCol w:w="62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Merge w:val="restart"/>
            <w:vAlign w:val="center"/>
          </w:tcPr>
          <w:p>
            <w:pPr>
              <w:widowControl/>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上年度进出口额</w:t>
            </w:r>
          </w:p>
        </w:tc>
        <w:tc>
          <w:tcPr>
            <w:tcW w:w="6298" w:type="dxa"/>
            <w:vAlign w:val="center"/>
          </w:tcPr>
          <w:p>
            <w:pPr>
              <w:jc w:val="center"/>
              <w:rPr>
                <w:rFonts w:ascii="楷体_GB2312" w:hAnsi="宋体" w:eastAsia="楷体_GB2312"/>
                <w:color w:val="auto"/>
                <w:szCs w:val="21"/>
              </w:rPr>
            </w:pPr>
            <w:r>
              <w:rPr>
                <w:rFonts w:hint="eastAsia" w:ascii="楷体_GB2312" w:hAnsi="宋体" w:eastAsia="楷体_GB2312" w:cs="宋体"/>
                <w:color w:val="auto"/>
                <w:kern w:val="0"/>
                <w:szCs w:val="21"/>
              </w:rPr>
              <w:t>万美元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Merge w:val="continue"/>
            <w:vAlign w:val="center"/>
          </w:tcPr>
          <w:p>
            <w:pPr>
              <w:widowControl/>
              <w:rPr>
                <w:rFonts w:ascii="楷体_GB2312" w:hAnsi="宋体" w:eastAsia="楷体_GB2312" w:cs="宋体"/>
                <w:color w:val="auto"/>
                <w:kern w:val="0"/>
                <w:sz w:val="28"/>
                <w:szCs w:val="28"/>
              </w:rPr>
            </w:pPr>
          </w:p>
        </w:tc>
        <w:tc>
          <w:tcPr>
            <w:tcW w:w="6298" w:type="dxa"/>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增长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Merge w:val="restart"/>
            <w:vAlign w:val="center"/>
          </w:tcPr>
          <w:p>
            <w:pPr>
              <w:widowControl/>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上年度出口额</w:t>
            </w:r>
          </w:p>
        </w:tc>
        <w:tc>
          <w:tcPr>
            <w:tcW w:w="6298" w:type="dxa"/>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万美元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Merge w:val="continue"/>
            <w:vAlign w:val="center"/>
          </w:tcPr>
          <w:p>
            <w:pPr>
              <w:widowControl/>
              <w:rPr>
                <w:rFonts w:ascii="楷体_GB2312" w:hAnsi="宋体" w:eastAsia="楷体_GB2312" w:cs="宋体"/>
                <w:color w:val="auto"/>
                <w:kern w:val="0"/>
                <w:sz w:val="28"/>
                <w:szCs w:val="28"/>
              </w:rPr>
            </w:pPr>
          </w:p>
        </w:tc>
        <w:tc>
          <w:tcPr>
            <w:tcW w:w="6298" w:type="dxa"/>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增长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Merge w:val="restart"/>
            <w:vAlign w:val="center"/>
          </w:tcPr>
          <w:p>
            <w:pPr>
              <w:widowControl/>
              <w:rPr>
                <w:rFonts w:ascii="楷体_GB2312" w:hAnsi="宋体" w:eastAsia="楷体_GB2312" w:cs="宋体"/>
                <w:color w:val="auto"/>
                <w:kern w:val="0"/>
                <w:sz w:val="28"/>
                <w:szCs w:val="28"/>
              </w:rPr>
            </w:pPr>
            <w:r>
              <w:rPr>
                <w:rFonts w:hint="eastAsia" w:ascii="楷体_GB2312" w:hAnsi="宋体" w:eastAsia="楷体_GB2312" w:cs="宋体"/>
                <w:color w:val="auto"/>
                <w:kern w:val="0"/>
                <w:sz w:val="28"/>
                <w:szCs w:val="28"/>
              </w:rPr>
              <w:t>上年度进口额</w:t>
            </w:r>
          </w:p>
        </w:tc>
        <w:tc>
          <w:tcPr>
            <w:tcW w:w="6298" w:type="dxa"/>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万美元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Merge w:val="continue"/>
            <w:vAlign w:val="center"/>
          </w:tcPr>
          <w:p>
            <w:pPr>
              <w:widowControl/>
              <w:rPr>
                <w:rFonts w:ascii="楷体_GB2312" w:hAnsi="宋体" w:eastAsia="楷体_GB2312" w:cs="宋体"/>
                <w:color w:val="auto"/>
                <w:kern w:val="0"/>
                <w:sz w:val="28"/>
                <w:szCs w:val="28"/>
              </w:rPr>
            </w:pPr>
          </w:p>
        </w:tc>
        <w:tc>
          <w:tcPr>
            <w:tcW w:w="6298" w:type="dxa"/>
            <w:vAlign w:val="center"/>
          </w:tcPr>
          <w:p>
            <w:pPr>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增长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Align w:val="center"/>
          </w:tcPr>
          <w:p>
            <w:pPr>
              <w:widowControl/>
              <w:rPr>
                <w:rFonts w:ascii="楷体_GB2312" w:hAnsi="宋体" w:eastAsia="楷体_GB2312" w:cs="宋体"/>
                <w:color w:val="auto"/>
                <w:kern w:val="0"/>
                <w:sz w:val="24"/>
              </w:rPr>
            </w:pPr>
            <w:r>
              <w:rPr>
                <w:rFonts w:hint="eastAsia" w:ascii="楷体_GB2312" w:hAnsi="宋体" w:eastAsia="楷体_GB2312" w:cs="宋体"/>
                <w:color w:val="auto"/>
                <w:kern w:val="0"/>
                <w:sz w:val="24"/>
              </w:rPr>
              <w:t>上年度纳税总额（万元）</w:t>
            </w:r>
          </w:p>
        </w:tc>
        <w:tc>
          <w:tcPr>
            <w:tcW w:w="6298" w:type="dxa"/>
            <w:vAlign w:val="center"/>
          </w:tcPr>
          <w:p>
            <w:pPr>
              <w:rPr>
                <w:rFonts w:ascii="楷体_GB2312" w:hAnsi="宋体" w:eastAsia="楷体_GB2312"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Align w:val="center"/>
          </w:tcPr>
          <w:p>
            <w:pPr>
              <w:rPr>
                <w:rFonts w:ascii="楷体_GB2312" w:hAnsi="宋体" w:eastAsia="楷体_GB2312" w:cs="宋体"/>
                <w:color w:val="auto"/>
                <w:kern w:val="0"/>
                <w:sz w:val="24"/>
              </w:rPr>
            </w:pPr>
            <w:r>
              <w:rPr>
                <w:rFonts w:hint="eastAsia" w:ascii="楷体_GB2312" w:hAnsi="宋体" w:eastAsia="楷体_GB2312" w:cs="宋体"/>
                <w:color w:val="auto"/>
                <w:kern w:val="0"/>
                <w:sz w:val="24"/>
              </w:rPr>
              <w:t>企业海关类别</w:t>
            </w:r>
          </w:p>
        </w:tc>
        <w:tc>
          <w:tcPr>
            <w:tcW w:w="6298" w:type="dxa"/>
            <w:vAlign w:val="center"/>
          </w:tcPr>
          <w:p>
            <w:pPr>
              <w:rPr>
                <w:rFonts w:ascii="楷体_GB2312" w:hAnsi="宋体" w:eastAsia="楷体_GB2312"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Align w:val="center"/>
          </w:tcPr>
          <w:p>
            <w:pPr>
              <w:rPr>
                <w:rFonts w:ascii="楷体_GB2312" w:hAnsi="宋体" w:eastAsia="楷体_GB2312" w:cs="宋体"/>
                <w:color w:val="auto"/>
                <w:kern w:val="0"/>
                <w:sz w:val="24"/>
              </w:rPr>
            </w:pPr>
            <w:r>
              <w:rPr>
                <w:rFonts w:hint="eastAsia" w:ascii="楷体_GB2312" w:hAnsi="宋体" w:eastAsia="楷体_GB2312" w:cs="宋体"/>
                <w:color w:val="auto"/>
                <w:kern w:val="0"/>
                <w:sz w:val="24"/>
              </w:rPr>
              <w:t>纳税信用等级</w:t>
            </w:r>
          </w:p>
        </w:tc>
        <w:tc>
          <w:tcPr>
            <w:tcW w:w="6298" w:type="dxa"/>
            <w:vAlign w:val="center"/>
          </w:tcPr>
          <w:p>
            <w:pPr>
              <w:rPr>
                <w:rFonts w:ascii="楷体_GB2312" w:hAnsi="宋体" w:eastAsia="楷体_GB2312"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24" w:type="dxa"/>
            <w:vAlign w:val="center"/>
          </w:tcPr>
          <w:p>
            <w:pPr>
              <w:rPr>
                <w:rFonts w:ascii="楷体_GB2312" w:hAnsi="宋体" w:eastAsia="楷体_GB2312" w:cs="宋体"/>
                <w:color w:val="auto"/>
                <w:kern w:val="0"/>
                <w:sz w:val="24"/>
              </w:rPr>
            </w:pPr>
            <w:r>
              <w:rPr>
                <w:rFonts w:hint="eastAsia" w:ascii="楷体_GB2312" w:hAnsi="宋体" w:eastAsia="楷体_GB2312" w:cs="宋体"/>
                <w:color w:val="auto"/>
                <w:kern w:val="0"/>
                <w:sz w:val="24"/>
              </w:rPr>
              <w:t>信保客户评级</w:t>
            </w:r>
          </w:p>
        </w:tc>
        <w:tc>
          <w:tcPr>
            <w:tcW w:w="6298" w:type="dxa"/>
            <w:vAlign w:val="center"/>
          </w:tcPr>
          <w:p>
            <w:pPr>
              <w:rPr>
                <w:rFonts w:ascii="楷体_GB2312" w:hAnsi="宋体" w:eastAsia="楷体_GB2312"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0" w:hRule="atLeast"/>
        </w:trPr>
        <w:tc>
          <w:tcPr>
            <w:tcW w:w="2224" w:type="dxa"/>
            <w:vAlign w:val="center"/>
          </w:tcPr>
          <w:p>
            <w:pPr>
              <w:widowControl/>
              <w:spacing w:line="460" w:lineRule="exact"/>
              <w:rPr>
                <w:rFonts w:ascii="楷体_GB2312" w:hAnsi="宋体" w:eastAsia="楷体_GB2312" w:cs="宋体"/>
                <w:color w:val="auto"/>
                <w:kern w:val="0"/>
                <w:sz w:val="24"/>
              </w:rPr>
            </w:pPr>
            <w:r>
              <w:rPr>
                <w:rFonts w:hint="eastAsia" w:ascii="楷体_GB2312" w:hAnsi="宋体" w:eastAsia="楷体_GB2312" w:cs="宋体"/>
                <w:color w:val="auto"/>
                <w:kern w:val="0"/>
                <w:sz w:val="24"/>
              </w:rPr>
              <w:t>企业未来三年进出口、出口增长情况预测</w:t>
            </w:r>
          </w:p>
        </w:tc>
        <w:tc>
          <w:tcPr>
            <w:tcW w:w="6298" w:type="dxa"/>
            <w:vAlign w:val="center"/>
          </w:tcPr>
          <w:p>
            <w:pPr>
              <w:widowControl/>
              <w:rPr>
                <w:rFonts w:ascii="楷体_GB2312" w:hAnsi="宋体" w:eastAsia="楷体_GB2312" w:cs="宋体"/>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2" w:hRule="atLeast"/>
        </w:trPr>
        <w:tc>
          <w:tcPr>
            <w:tcW w:w="2224" w:type="dxa"/>
            <w:vAlign w:val="center"/>
          </w:tcPr>
          <w:p>
            <w:pPr>
              <w:widowControl/>
              <w:spacing w:line="280" w:lineRule="exact"/>
              <w:rPr>
                <w:rFonts w:ascii="楷体_GB2312" w:hAnsi="宋体" w:eastAsia="楷体_GB2312" w:cs="宋体"/>
                <w:color w:val="auto"/>
                <w:kern w:val="0"/>
                <w:sz w:val="24"/>
              </w:rPr>
            </w:pPr>
            <w:r>
              <w:rPr>
                <w:rFonts w:hint="eastAsia" w:ascii="楷体_GB2312" w:hAnsi="宋体" w:eastAsia="楷体_GB2312" w:cs="宋体"/>
                <w:color w:val="auto"/>
                <w:kern w:val="0"/>
                <w:sz w:val="24"/>
              </w:rPr>
              <w:t>依法经营</w:t>
            </w:r>
          </w:p>
          <w:p>
            <w:pPr>
              <w:widowControl/>
              <w:spacing w:line="280" w:lineRule="exact"/>
              <w:rPr>
                <w:rFonts w:ascii="楷体_GB2312" w:hAnsi="宋体" w:eastAsia="楷体_GB2312" w:cs="宋体"/>
                <w:color w:val="auto"/>
                <w:kern w:val="0"/>
                <w:sz w:val="24"/>
              </w:rPr>
            </w:pPr>
            <w:r>
              <w:rPr>
                <w:rFonts w:hint="eastAsia" w:ascii="楷体_GB2312" w:hAnsi="宋体" w:eastAsia="楷体_GB2312" w:cs="宋体"/>
                <w:color w:val="auto"/>
                <w:kern w:val="0"/>
                <w:sz w:val="24"/>
              </w:rPr>
              <w:t>情况</w:t>
            </w:r>
          </w:p>
        </w:tc>
        <w:tc>
          <w:tcPr>
            <w:tcW w:w="6298" w:type="dxa"/>
            <w:vAlign w:val="center"/>
          </w:tcPr>
          <w:p>
            <w:pPr>
              <w:widowControl/>
              <w:rPr>
                <w:rFonts w:ascii="楷体_GB2312" w:hAnsi="宋体" w:eastAsia="楷体_GB2312" w:cs="宋体"/>
                <w:color w:val="auto"/>
                <w:kern w:val="0"/>
                <w:sz w:val="28"/>
                <w:szCs w:val="28"/>
              </w:rPr>
            </w:pPr>
          </w:p>
        </w:tc>
      </w:tr>
    </w:tbl>
    <w:p>
      <w:pPr>
        <w:rPr>
          <w:rFonts w:ascii="AdobeMingStd-Light-Acro" w:eastAsia="黑体" w:cs="AdobeMingStd-Light-Acro"/>
          <w:b/>
          <w:color w:val="auto"/>
          <w:kern w:val="0"/>
          <w:sz w:val="30"/>
          <w:szCs w:val="32"/>
        </w:rPr>
      </w:pPr>
    </w:p>
    <w:p>
      <w:pPr>
        <w:rPr>
          <w:rFonts w:ascii="AdobeMingStd-Light-Acro" w:eastAsia="黑体" w:cs="AdobeMingStd-Light-Acro"/>
          <w:b/>
          <w:color w:val="auto"/>
          <w:kern w:val="0"/>
          <w:sz w:val="30"/>
          <w:szCs w:val="32"/>
        </w:rPr>
      </w:pPr>
      <w:r>
        <w:rPr>
          <w:rFonts w:hint="eastAsia" w:ascii="AdobeMingStd-Light-Acro" w:eastAsia="黑体" w:cs="AdobeMingStd-Light-Acro"/>
          <w:b/>
          <w:color w:val="auto"/>
          <w:kern w:val="0"/>
          <w:sz w:val="30"/>
          <w:szCs w:val="32"/>
        </w:rPr>
        <w:t>三、集团型公司及其子公司进出口等情况（非集团型公司此表不填）</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3513"/>
        <w:gridCol w:w="140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80" w:lineRule="exact"/>
              <w:rPr>
                <w:rFonts w:ascii="楷体_GB2312" w:eastAsia="楷体_GB2312"/>
                <w:b/>
                <w:color w:val="auto"/>
                <w:spacing w:val="-6"/>
                <w:sz w:val="28"/>
                <w:szCs w:val="28"/>
              </w:rPr>
            </w:pPr>
            <w:r>
              <w:rPr>
                <w:rFonts w:hint="eastAsia" w:ascii="楷体_GB2312" w:eastAsia="楷体_GB2312"/>
                <w:b/>
                <w:color w:val="auto"/>
                <w:spacing w:val="-6"/>
                <w:sz w:val="28"/>
                <w:szCs w:val="28"/>
              </w:rPr>
              <w:t>集团公司名称：</w:t>
            </w:r>
          </w:p>
          <w:p>
            <w:pPr>
              <w:spacing w:line="380" w:lineRule="exact"/>
              <w:rPr>
                <w:rFonts w:ascii="楷体_GB2312" w:eastAsia="楷体_GB2312"/>
                <w:b/>
                <w:color w:val="auto"/>
                <w:spacing w:val="-6"/>
                <w:sz w:val="28"/>
                <w:szCs w:val="28"/>
              </w:rPr>
            </w:pPr>
            <w:r>
              <w:rPr>
                <w:rFonts w:hint="eastAsia" w:ascii="楷体_GB2312" w:eastAsia="楷体_GB2312"/>
                <w:b/>
                <w:color w:val="auto"/>
                <w:spacing w:val="-6"/>
                <w:sz w:val="28"/>
                <w:szCs w:val="28"/>
              </w:rPr>
              <w:t>海关代码：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vAlign w:val="center"/>
          </w:tcPr>
          <w:p>
            <w:pPr>
              <w:rPr>
                <w:rFonts w:ascii="楷体_GB2312" w:eastAsia="楷体_GB2312"/>
                <w:b/>
                <w:color w:val="auto"/>
                <w:spacing w:val="-6"/>
                <w:sz w:val="28"/>
                <w:szCs w:val="28"/>
              </w:rPr>
            </w:pPr>
            <w:r>
              <w:rPr>
                <w:rFonts w:hint="eastAsia" w:ascii="楷体_GB2312" w:eastAsia="楷体_GB2312"/>
                <w:b/>
                <w:color w:val="auto"/>
                <w:spacing w:val="-6"/>
                <w:sz w:val="28"/>
                <w:szCs w:val="28"/>
              </w:rPr>
              <w:t>海关代码</w:t>
            </w:r>
          </w:p>
          <w:p>
            <w:pPr>
              <w:rPr>
                <w:rFonts w:ascii="楷体_GB2312" w:eastAsia="楷体_GB2312"/>
                <w:b/>
                <w:color w:val="auto"/>
                <w:spacing w:val="-6"/>
                <w:sz w:val="28"/>
                <w:szCs w:val="28"/>
              </w:rPr>
            </w:pPr>
            <w:r>
              <w:rPr>
                <w:rFonts w:hint="eastAsia" w:ascii="楷体_GB2312" w:eastAsia="楷体_GB2312"/>
                <w:b/>
                <w:color w:val="auto"/>
                <w:spacing w:val="-6"/>
                <w:sz w:val="28"/>
                <w:szCs w:val="28"/>
              </w:rPr>
              <w:t>（10位）</w:t>
            </w:r>
          </w:p>
        </w:tc>
        <w:tc>
          <w:tcPr>
            <w:tcW w:w="3513" w:type="dxa"/>
            <w:vAlign w:val="center"/>
          </w:tcPr>
          <w:p>
            <w:pPr>
              <w:spacing w:line="380" w:lineRule="exact"/>
              <w:jc w:val="center"/>
              <w:rPr>
                <w:rFonts w:ascii="楷体_GB2312" w:eastAsia="楷体_GB2312"/>
                <w:b/>
                <w:color w:val="auto"/>
                <w:spacing w:val="-6"/>
                <w:sz w:val="28"/>
                <w:szCs w:val="28"/>
              </w:rPr>
            </w:pPr>
            <w:r>
              <w:rPr>
                <w:rFonts w:hint="eastAsia" w:ascii="楷体_GB2312" w:eastAsia="楷体_GB2312"/>
                <w:b/>
                <w:color w:val="auto"/>
                <w:spacing w:val="-6"/>
                <w:sz w:val="28"/>
                <w:szCs w:val="28"/>
              </w:rPr>
              <w:t>公司名称</w:t>
            </w:r>
          </w:p>
        </w:tc>
        <w:tc>
          <w:tcPr>
            <w:tcW w:w="1400" w:type="dxa"/>
            <w:vAlign w:val="center"/>
          </w:tcPr>
          <w:p>
            <w:pPr>
              <w:spacing w:line="380" w:lineRule="exact"/>
              <w:jc w:val="center"/>
              <w:rPr>
                <w:rFonts w:ascii="楷体_GB2312" w:eastAsia="楷体_GB2312"/>
                <w:b/>
                <w:color w:val="auto"/>
                <w:spacing w:val="-6"/>
                <w:sz w:val="28"/>
                <w:szCs w:val="28"/>
              </w:rPr>
            </w:pPr>
            <w:r>
              <w:rPr>
                <w:rFonts w:hint="eastAsia" w:ascii="楷体_GB2312" w:eastAsia="楷体_GB2312"/>
                <w:b/>
                <w:color w:val="auto"/>
                <w:spacing w:val="-6"/>
                <w:sz w:val="28"/>
                <w:szCs w:val="28"/>
              </w:rPr>
              <w:t>控股比例</w:t>
            </w:r>
          </w:p>
        </w:tc>
        <w:tc>
          <w:tcPr>
            <w:tcW w:w="2186" w:type="dxa"/>
            <w:tcBorders>
              <w:right w:val="single" w:color="auto" w:sz="4" w:space="0"/>
            </w:tcBorders>
            <w:vAlign w:val="center"/>
          </w:tcPr>
          <w:p>
            <w:pPr>
              <w:spacing w:line="380" w:lineRule="exact"/>
              <w:rPr>
                <w:rFonts w:ascii="楷体_GB2312" w:eastAsia="楷体_GB2312"/>
                <w:b/>
                <w:color w:val="auto"/>
                <w:spacing w:val="-6"/>
                <w:sz w:val="28"/>
                <w:szCs w:val="28"/>
              </w:rPr>
            </w:pPr>
            <w:r>
              <w:rPr>
                <w:rFonts w:hint="eastAsia" w:ascii="楷体_GB2312" w:eastAsia="楷体_GB2312"/>
                <w:b/>
                <w:color w:val="auto"/>
                <w:spacing w:val="-6"/>
                <w:sz w:val="28"/>
                <w:szCs w:val="28"/>
              </w:rPr>
              <w:t>上年度海关数据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3" w:type="dxa"/>
            <w:tcBorders>
              <w:left w:val="single" w:color="auto" w:sz="4" w:space="0"/>
            </w:tcBorders>
          </w:tcPr>
          <w:p>
            <w:pPr>
              <w:ind w:firstLine="640"/>
              <w:rPr>
                <w:rFonts w:ascii="仿宋_GB2312" w:eastAsia="仿宋_GB2312"/>
                <w:color w:val="auto"/>
                <w:sz w:val="32"/>
                <w:szCs w:val="32"/>
              </w:rPr>
            </w:pPr>
          </w:p>
        </w:tc>
        <w:tc>
          <w:tcPr>
            <w:tcW w:w="3513" w:type="dxa"/>
          </w:tcPr>
          <w:p>
            <w:pPr>
              <w:ind w:firstLine="640"/>
              <w:rPr>
                <w:rFonts w:ascii="仿宋_GB2312" w:eastAsia="仿宋_GB2312"/>
                <w:color w:val="auto"/>
                <w:sz w:val="32"/>
                <w:szCs w:val="32"/>
              </w:rPr>
            </w:pPr>
          </w:p>
        </w:tc>
        <w:tc>
          <w:tcPr>
            <w:tcW w:w="1400" w:type="dxa"/>
          </w:tcPr>
          <w:p>
            <w:pPr>
              <w:rPr>
                <w:rFonts w:ascii="仿宋_GB2312" w:eastAsia="仿宋_GB2312"/>
                <w:color w:val="auto"/>
                <w:sz w:val="32"/>
                <w:szCs w:val="32"/>
              </w:rPr>
            </w:pPr>
          </w:p>
        </w:tc>
        <w:tc>
          <w:tcPr>
            <w:tcW w:w="2186" w:type="dxa"/>
            <w:tcBorders>
              <w:right w:val="single" w:color="auto" w:sz="4" w:space="0"/>
            </w:tcBorders>
          </w:tcPr>
          <w:p>
            <w:pPr>
              <w:ind w:left="55"/>
              <w:rPr>
                <w:rFonts w:ascii="仿宋_GB2312" w:eastAsia="仿宋_GB2312"/>
                <w:color w:val="auto"/>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36" w:type="dxa"/>
            <w:gridSpan w:val="3"/>
            <w:tcBorders>
              <w:left w:val="single" w:color="auto" w:sz="4" w:space="0"/>
            </w:tcBorders>
          </w:tcPr>
          <w:p>
            <w:pPr>
              <w:ind w:firstLine="3095" w:firstLineChars="1150"/>
              <w:rPr>
                <w:rFonts w:ascii="仿宋_GB2312" w:eastAsia="仿宋_GB2312"/>
                <w:color w:val="auto"/>
                <w:sz w:val="32"/>
                <w:szCs w:val="32"/>
              </w:rPr>
            </w:pPr>
            <w:r>
              <w:rPr>
                <w:rFonts w:hint="eastAsia" w:ascii="楷体_GB2312" w:eastAsia="楷体_GB2312"/>
                <w:b/>
                <w:color w:val="auto"/>
                <w:spacing w:val="-6"/>
                <w:sz w:val="28"/>
                <w:szCs w:val="28"/>
              </w:rPr>
              <w:t>合计</w:t>
            </w:r>
          </w:p>
        </w:tc>
        <w:tc>
          <w:tcPr>
            <w:tcW w:w="2186" w:type="dxa"/>
            <w:tcBorders>
              <w:right w:val="single" w:color="auto" w:sz="4" w:space="0"/>
            </w:tcBorders>
          </w:tcPr>
          <w:p>
            <w:pPr>
              <w:ind w:left="55"/>
              <w:rPr>
                <w:rFonts w:ascii="仿宋_GB2312" w:eastAsia="仿宋_GB2312"/>
                <w:color w:val="auto"/>
                <w:sz w:val="32"/>
                <w:szCs w:val="32"/>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dobeMingStd-Light-Acro">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504891"/>
    <w:multiLevelType w:val="singleLevel"/>
    <w:tmpl w:val="C1504891"/>
    <w:lvl w:ilvl="0" w:tentative="0">
      <w:start w:val="2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41392"/>
    <w:rsid w:val="5A56669C"/>
    <w:rsid w:val="72641392"/>
    <w:rsid w:val="74EE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公1"/>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Date"/>
    <w:basedOn w:val="1"/>
    <w:next w:val="1"/>
    <w:qFormat/>
    <w:uiPriority w:val="0"/>
    <w:pPr>
      <w:ind w:left="100" w:leftChars="2500"/>
    </w:pPr>
    <w:rPr>
      <w:rFonts w:ascii="Times New Roman" w:hAnsi="Times New Roman" w:eastAsia="宋体" w:cs="Times New Roman"/>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2020-11-30T01:07:00Z</dcterms:created>
  <dc:creator>ShaoZB</dc:creator>
  <cp:lastModifiedBy>ShaoZB</cp:lastModifiedBy>
  <dcterms:modified xsi:type="dcterms:W3CDTF">2020-11-30T07:22:25Z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