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“北岸智谷”2.0政策兑现涉及条款</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eastAsia="仿宋_GB2312"/>
          <w:color w:val="auto"/>
          <w:sz w:val="32"/>
          <w:szCs w:val="32"/>
        </w:rPr>
      </w:pPr>
      <w:r>
        <w:rPr>
          <w:rFonts w:hint="eastAsia" w:ascii="楷体_GB2312" w:eastAsia="楷体_GB2312"/>
          <w:color w:val="auto"/>
          <w:sz w:val="32"/>
          <w:szCs w:val="32"/>
          <w:lang w:val="en-US" w:eastAsia="zh-CN"/>
        </w:rPr>
        <w:t>第</w:t>
      </w:r>
      <w:r>
        <w:rPr>
          <w:rFonts w:ascii="楷体_GB2312" w:eastAsia="楷体_GB2312"/>
          <w:color w:val="auto"/>
          <w:sz w:val="32"/>
          <w:szCs w:val="32"/>
        </w:rPr>
        <w:t>5</w:t>
      </w:r>
      <w:r>
        <w:rPr>
          <w:rFonts w:hint="eastAsia" w:ascii="楷体_GB2312" w:eastAsia="楷体_GB2312"/>
          <w:color w:val="auto"/>
          <w:sz w:val="32"/>
          <w:szCs w:val="32"/>
          <w:lang w:val="en-US" w:eastAsia="zh-CN"/>
        </w:rPr>
        <w:t>条：</w:t>
      </w:r>
      <w:r>
        <w:rPr>
          <w:rFonts w:hint="eastAsia" w:ascii="楷体_GB2312" w:eastAsia="楷体_GB2312"/>
          <w:color w:val="auto"/>
          <w:sz w:val="32"/>
          <w:szCs w:val="32"/>
        </w:rPr>
        <w:t>加强高校毕业生储备力度。</w:t>
      </w:r>
      <w:r>
        <w:rPr>
          <w:rFonts w:hint="eastAsia" w:eastAsia="仿宋_GB2312"/>
          <w:color w:val="auto"/>
          <w:sz w:val="32"/>
          <w:szCs w:val="32"/>
        </w:rPr>
        <w:t>鼓励全日制硕士毕业生、“双一流”建设高校应届全日制本科学历毕业生到我区企业就业或创业，并签订三年以上的劳动合同，按硕士</w:t>
      </w:r>
      <w:r>
        <w:rPr>
          <w:rFonts w:eastAsia="仿宋_GB2312"/>
          <w:color w:val="auto"/>
          <w:sz w:val="32"/>
          <w:szCs w:val="32"/>
        </w:rPr>
        <w:t>4</w:t>
      </w:r>
      <w:r>
        <w:rPr>
          <w:rFonts w:hint="eastAsia" w:eastAsia="仿宋_GB2312"/>
          <w:color w:val="auto"/>
          <w:sz w:val="32"/>
          <w:szCs w:val="32"/>
        </w:rPr>
        <w:t>万元、本科</w:t>
      </w:r>
      <w:r>
        <w:rPr>
          <w:rFonts w:eastAsia="仿宋_GB2312"/>
          <w:color w:val="auto"/>
          <w:sz w:val="32"/>
          <w:szCs w:val="32"/>
        </w:rPr>
        <w:t>2</w:t>
      </w:r>
      <w:r>
        <w:rPr>
          <w:rFonts w:hint="eastAsia" w:eastAsia="仿宋_GB2312"/>
          <w:color w:val="auto"/>
          <w:sz w:val="32"/>
          <w:szCs w:val="32"/>
        </w:rPr>
        <w:t>万元分三期给予生活补贴，分别在缴纳社保满</w:t>
      </w:r>
      <w:r>
        <w:rPr>
          <w:rFonts w:eastAsia="仿宋_GB2312"/>
          <w:color w:val="auto"/>
          <w:sz w:val="32"/>
          <w:szCs w:val="32"/>
        </w:rPr>
        <w:t>6</w:t>
      </w:r>
      <w:r>
        <w:rPr>
          <w:rFonts w:hint="eastAsia" w:eastAsia="仿宋_GB2312"/>
          <w:color w:val="auto"/>
          <w:sz w:val="32"/>
          <w:szCs w:val="32"/>
        </w:rPr>
        <w:t>个月、</w:t>
      </w:r>
      <w:r>
        <w:rPr>
          <w:rFonts w:eastAsia="仿宋_GB2312"/>
          <w:color w:val="auto"/>
          <w:sz w:val="32"/>
          <w:szCs w:val="32"/>
        </w:rPr>
        <w:t>18</w:t>
      </w:r>
      <w:r>
        <w:rPr>
          <w:rFonts w:hint="eastAsia" w:eastAsia="仿宋_GB2312"/>
          <w:color w:val="auto"/>
          <w:sz w:val="32"/>
          <w:szCs w:val="32"/>
        </w:rPr>
        <w:t>个月、</w:t>
      </w:r>
      <w:r>
        <w:rPr>
          <w:rFonts w:eastAsia="仿宋_GB2312"/>
          <w:color w:val="auto"/>
          <w:sz w:val="32"/>
          <w:szCs w:val="32"/>
        </w:rPr>
        <w:t>30</w:t>
      </w:r>
      <w:r>
        <w:rPr>
          <w:rFonts w:hint="eastAsia" w:eastAsia="仿宋_GB2312"/>
          <w:color w:val="auto"/>
          <w:sz w:val="32"/>
          <w:szCs w:val="32"/>
        </w:rPr>
        <w:t>个月后可提出申请，按照</w:t>
      </w:r>
      <w:r>
        <w:rPr>
          <w:rFonts w:eastAsia="仿宋_GB2312" w:cs="宋体"/>
          <w:color w:val="auto"/>
          <w:kern w:val="0"/>
          <w:sz w:val="32"/>
          <w:szCs w:val="32"/>
        </w:rPr>
        <w:t>1:1:2</w:t>
      </w:r>
      <w:r>
        <w:rPr>
          <w:rFonts w:hint="eastAsia" w:eastAsia="仿宋_GB2312"/>
          <w:color w:val="auto"/>
          <w:sz w:val="32"/>
          <w:szCs w:val="32"/>
        </w:rPr>
        <w:t>的比例进行发放。博士毕业生按照市级政策执行。</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eastAsia="仿宋_GB2312"/>
          <w:color w:val="auto"/>
          <w:sz w:val="32"/>
          <w:szCs w:val="32"/>
        </w:rPr>
      </w:pPr>
      <w:r>
        <w:rPr>
          <w:rFonts w:hint="eastAsia" w:ascii="楷体_GB2312" w:eastAsia="楷体_GB2312"/>
          <w:color w:val="auto"/>
          <w:sz w:val="32"/>
          <w:szCs w:val="32"/>
          <w:lang w:val="en-US" w:eastAsia="zh-CN"/>
        </w:rPr>
        <w:t>第6条：</w:t>
      </w:r>
      <w:r>
        <w:rPr>
          <w:rFonts w:hint="eastAsia" w:ascii="楷体_GB2312" w:eastAsia="楷体_GB2312"/>
          <w:color w:val="auto"/>
          <w:sz w:val="32"/>
          <w:szCs w:val="32"/>
        </w:rPr>
        <w:t>实施高层次人才引进培育奖励。</w:t>
      </w:r>
      <w:r>
        <w:rPr>
          <w:rFonts w:hint="eastAsia" w:eastAsia="仿宋_GB2312"/>
          <w:color w:val="auto"/>
          <w:sz w:val="32"/>
          <w:szCs w:val="32"/>
        </w:rPr>
        <w:t>企业自主引进或培育成为顶尖人才、特优人才、领军人才、拔尖人才、高级人才以及制造业企业中从事研发制造的年薪</w:t>
      </w:r>
      <w:r>
        <w:rPr>
          <w:rFonts w:eastAsia="仿宋_GB2312"/>
          <w:color w:val="auto"/>
          <w:sz w:val="32"/>
          <w:szCs w:val="32"/>
        </w:rPr>
        <w:t>50</w:t>
      </w:r>
      <w:r>
        <w:rPr>
          <w:rFonts w:hint="eastAsia" w:eastAsia="仿宋_GB2312"/>
          <w:color w:val="auto"/>
          <w:sz w:val="32"/>
          <w:szCs w:val="32"/>
        </w:rPr>
        <w:t>万元以上高薪人才（仅资本投入的股东除外），并签订五年以上劳动合同的，分别给予企业一次性引才育才奖励</w:t>
      </w:r>
      <w:r>
        <w:rPr>
          <w:rFonts w:eastAsia="仿宋_GB2312"/>
          <w:color w:val="auto"/>
          <w:sz w:val="32"/>
          <w:szCs w:val="32"/>
        </w:rPr>
        <w:t>200</w:t>
      </w:r>
      <w:r>
        <w:rPr>
          <w:rFonts w:hint="eastAsia" w:eastAsia="仿宋_GB2312"/>
          <w:color w:val="auto"/>
          <w:sz w:val="32"/>
          <w:szCs w:val="32"/>
        </w:rPr>
        <w:t>万元、</w:t>
      </w:r>
      <w:r>
        <w:rPr>
          <w:rFonts w:eastAsia="仿宋_GB2312"/>
          <w:color w:val="auto"/>
          <w:sz w:val="32"/>
          <w:szCs w:val="32"/>
        </w:rPr>
        <w:t>60</w:t>
      </w:r>
      <w:r>
        <w:rPr>
          <w:rFonts w:hint="eastAsia" w:eastAsia="仿宋_GB2312"/>
          <w:color w:val="auto"/>
          <w:sz w:val="32"/>
          <w:szCs w:val="32"/>
        </w:rPr>
        <w:t>万元、</w:t>
      </w:r>
      <w:r>
        <w:rPr>
          <w:rFonts w:eastAsia="仿宋_GB2312"/>
          <w:color w:val="auto"/>
          <w:sz w:val="32"/>
          <w:szCs w:val="32"/>
        </w:rPr>
        <w:t>30</w:t>
      </w:r>
      <w:r>
        <w:rPr>
          <w:rFonts w:hint="eastAsia" w:eastAsia="仿宋_GB2312"/>
          <w:color w:val="auto"/>
          <w:sz w:val="32"/>
          <w:szCs w:val="32"/>
        </w:rPr>
        <w:t>万元、</w:t>
      </w:r>
      <w:r>
        <w:rPr>
          <w:rFonts w:eastAsia="仿宋_GB2312"/>
          <w:color w:val="auto"/>
          <w:sz w:val="32"/>
          <w:szCs w:val="32"/>
        </w:rPr>
        <w:t>10</w:t>
      </w:r>
      <w:r>
        <w:rPr>
          <w:rFonts w:hint="eastAsia" w:eastAsia="仿宋_GB2312"/>
          <w:color w:val="auto"/>
          <w:sz w:val="32"/>
          <w:szCs w:val="32"/>
        </w:rPr>
        <w:t>万元、</w:t>
      </w:r>
      <w:r>
        <w:rPr>
          <w:rFonts w:eastAsia="仿宋_GB2312"/>
          <w:color w:val="auto"/>
          <w:sz w:val="32"/>
          <w:szCs w:val="32"/>
        </w:rPr>
        <w:t>3</w:t>
      </w:r>
      <w:r>
        <w:rPr>
          <w:rFonts w:hint="eastAsia" w:eastAsia="仿宋_GB2312"/>
          <w:color w:val="auto"/>
          <w:sz w:val="32"/>
          <w:szCs w:val="32"/>
        </w:rPr>
        <w:t>万元和</w:t>
      </w:r>
      <w:r>
        <w:rPr>
          <w:rFonts w:eastAsia="仿宋_GB2312"/>
          <w:color w:val="auto"/>
          <w:sz w:val="32"/>
          <w:szCs w:val="32"/>
        </w:rPr>
        <w:t>3</w:t>
      </w:r>
      <w:r>
        <w:rPr>
          <w:rFonts w:hint="eastAsia" w:eastAsia="仿宋_GB2312"/>
          <w:color w:val="auto"/>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eastAsia="仿宋_GB2312"/>
          <w:color w:val="auto"/>
          <w:sz w:val="32"/>
          <w:szCs w:val="32"/>
        </w:rPr>
      </w:pPr>
      <w:r>
        <w:rPr>
          <w:rFonts w:hint="eastAsia" w:ascii="楷体_GB2312" w:eastAsia="楷体_GB2312"/>
          <w:color w:val="auto"/>
          <w:sz w:val="32"/>
          <w:szCs w:val="32"/>
          <w:lang w:val="en-US" w:eastAsia="zh-CN"/>
        </w:rPr>
        <w:t>第7条：</w:t>
      </w:r>
      <w:r>
        <w:rPr>
          <w:rFonts w:hint="eastAsia" w:ascii="楷体_GB2312" w:eastAsia="楷体_GB2312"/>
          <w:color w:val="auto"/>
          <w:sz w:val="32"/>
          <w:szCs w:val="32"/>
        </w:rPr>
        <w:t>实施高层次人才工作津贴。</w:t>
      </w:r>
      <w:r>
        <w:rPr>
          <w:rFonts w:hint="eastAsia" w:eastAsia="仿宋_GB2312"/>
          <w:color w:val="auto"/>
          <w:sz w:val="32"/>
          <w:szCs w:val="32"/>
        </w:rPr>
        <w:t>对在我区企业全职工作的顶尖人才、特优人才、领军人才、拔尖人才、高级人才以及制造业企业中从事研发制造的年薪</w:t>
      </w:r>
      <w:r>
        <w:rPr>
          <w:rFonts w:eastAsia="仿宋_GB2312"/>
          <w:color w:val="auto"/>
          <w:sz w:val="32"/>
          <w:szCs w:val="32"/>
        </w:rPr>
        <w:t>50</w:t>
      </w:r>
      <w:r>
        <w:rPr>
          <w:rFonts w:hint="eastAsia" w:eastAsia="仿宋_GB2312"/>
          <w:color w:val="auto"/>
          <w:sz w:val="32"/>
          <w:szCs w:val="32"/>
        </w:rPr>
        <w:t>万元以上高薪人才（仅资本投入的股东除外）给予工作津贴，最高</w:t>
      </w:r>
      <w:r>
        <w:rPr>
          <w:rFonts w:eastAsia="仿宋_GB2312"/>
          <w:color w:val="auto"/>
          <w:sz w:val="32"/>
          <w:szCs w:val="32"/>
        </w:rPr>
        <w:t>20</w:t>
      </w:r>
      <w:r>
        <w:rPr>
          <w:rFonts w:hint="eastAsia" w:eastAsia="仿宋_GB2312"/>
          <w:color w:val="auto"/>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hint="eastAsia" w:eastAsia="仿宋_GB2312"/>
          <w:color w:val="auto"/>
          <w:sz w:val="32"/>
          <w:szCs w:val="32"/>
        </w:rPr>
      </w:pPr>
      <w:r>
        <w:rPr>
          <w:rFonts w:hint="eastAsia" w:ascii="楷体_GB2312" w:eastAsia="楷体_GB2312"/>
          <w:color w:val="auto"/>
          <w:sz w:val="32"/>
          <w:szCs w:val="32"/>
          <w:lang w:val="en-US" w:eastAsia="zh-CN"/>
        </w:rPr>
        <w:t>第8条：</w:t>
      </w:r>
      <w:r>
        <w:rPr>
          <w:rFonts w:hint="eastAsia" w:ascii="楷体_GB2312" w:eastAsia="楷体_GB2312"/>
          <w:color w:val="auto"/>
          <w:sz w:val="32"/>
          <w:szCs w:val="32"/>
        </w:rPr>
        <w:t>加强企业人才培养。</w:t>
      </w:r>
      <w:r>
        <w:rPr>
          <w:rFonts w:hint="eastAsia" w:eastAsia="仿宋_GB2312"/>
          <w:color w:val="auto"/>
          <w:sz w:val="32"/>
          <w:szCs w:val="32"/>
        </w:rPr>
        <w:t>企业选送中青年人才参加区委人才办或区人力社保局认可的国际学术交流活动的，每人每次补助</w:t>
      </w:r>
      <w:r>
        <w:rPr>
          <w:rFonts w:eastAsia="仿宋_GB2312"/>
          <w:color w:val="auto"/>
          <w:sz w:val="32"/>
          <w:szCs w:val="32"/>
        </w:rPr>
        <w:t>1</w:t>
      </w:r>
      <w:r>
        <w:rPr>
          <w:rFonts w:hint="eastAsia" w:eastAsia="仿宋_GB2312"/>
          <w:color w:val="auto"/>
          <w:sz w:val="32"/>
          <w:szCs w:val="32"/>
        </w:rPr>
        <w:t>万元，参加区委人才办或区人力社保局认可的全国性学术交流活动的，每人每次补助</w:t>
      </w:r>
      <w:r>
        <w:rPr>
          <w:rFonts w:eastAsia="仿宋_GB2312"/>
          <w:color w:val="auto"/>
          <w:sz w:val="32"/>
          <w:szCs w:val="32"/>
        </w:rPr>
        <w:t>2000</w:t>
      </w:r>
      <w:r>
        <w:rPr>
          <w:rFonts w:hint="eastAsia" w:eastAsia="仿宋_GB2312"/>
          <w:color w:val="auto"/>
          <w:sz w:val="32"/>
          <w:szCs w:val="32"/>
        </w:rPr>
        <w:t>元，每家企业每年最高</w:t>
      </w:r>
      <w:r>
        <w:rPr>
          <w:rFonts w:eastAsia="仿宋_GB2312"/>
          <w:color w:val="auto"/>
          <w:sz w:val="32"/>
          <w:szCs w:val="32"/>
        </w:rPr>
        <w:t>5</w:t>
      </w:r>
      <w:r>
        <w:rPr>
          <w:rFonts w:hint="eastAsia" w:eastAsia="仿宋_GB2312"/>
          <w:color w:val="auto"/>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hint="eastAsia" w:eastAsia="仿宋_GB2312"/>
          <w:color w:val="auto"/>
          <w:sz w:val="32"/>
          <w:szCs w:val="32"/>
        </w:rPr>
      </w:pPr>
      <w:r>
        <w:rPr>
          <w:rFonts w:hint="eastAsia" w:eastAsia="仿宋_GB2312"/>
          <w:color w:val="auto"/>
          <w:sz w:val="32"/>
          <w:szCs w:val="32"/>
        </w:rPr>
        <w:t>对列入国家“百千万人才工程”、省“151人才工程”和市“领军和拔尖人才工程”第一、第二层次人选，按国家、省、市资助标准给予1：1配套资助，对列入省、市第三层次人选，分别给予企业每人3万元、2万元经费资助。</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hint="eastAsia" w:eastAsia="仿宋_GB2312"/>
          <w:color w:val="auto"/>
          <w:sz w:val="32"/>
          <w:szCs w:val="32"/>
        </w:rPr>
      </w:pPr>
      <w:r>
        <w:rPr>
          <w:rFonts w:hint="eastAsia" w:ascii="楷体_GB2312" w:eastAsia="楷体_GB2312"/>
          <w:color w:val="auto"/>
          <w:sz w:val="32"/>
          <w:szCs w:val="32"/>
          <w:lang w:val="en-US" w:eastAsia="zh-CN"/>
        </w:rPr>
        <w:t>第11条：</w:t>
      </w:r>
      <w:r>
        <w:rPr>
          <w:rFonts w:hint="eastAsia" w:ascii="楷体_GB2312" w:eastAsia="楷体_GB2312"/>
          <w:color w:val="auto"/>
          <w:sz w:val="32"/>
          <w:szCs w:val="32"/>
        </w:rPr>
        <w:t>加强引才渠道拓展。</w:t>
      </w:r>
      <w:r>
        <w:rPr>
          <w:rFonts w:hint="eastAsia" w:eastAsia="仿宋_GB2312"/>
          <w:color w:val="auto"/>
          <w:sz w:val="32"/>
          <w:szCs w:val="32"/>
        </w:rPr>
        <w:t>企业参加我区集中组织的各类人才招聘</w:t>
      </w:r>
      <w:bookmarkStart w:id="0" w:name="_GoBack"/>
      <w:bookmarkEnd w:id="0"/>
      <w:r>
        <w:rPr>
          <w:rFonts w:hint="eastAsia" w:eastAsia="仿宋_GB2312"/>
          <w:color w:val="auto"/>
          <w:sz w:val="32"/>
          <w:szCs w:val="32"/>
        </w:rPr>
        <w:t>活动，宣传费、摊位费和统一制作的招聘广告费用给予全额补助。</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eastAsia="仿宋_GB2312"/>
          <w:color w:val="auto"/>
          <w:sz w:val="32"/>
          <w:szCs w:val="32"/>
        </w:rPr>
      </w:pPr>
      <w:r>
        <w:rPr>
          <w:rFonts w:hint="eastAsia" w:ascii="楷体_GB2312" w:eastAsia="楷体_GB2312"/>
          <w:color w:val="auto"/>
          <w:sz w:val="32"/>
          <w:szCs w:val="32"/>
          <w:lang w:val="en-US" w:eastAsia="zh-CN"/>
        </w:rPr>
        <w:t>第1</w:t>
      </w:r>
      <w:r>
        <w:rPr>
          <w:rFonts w:ascii="楷体_GB2312" w:eastAsia="楷体_GB2312"/>
          <w:color w:val="auto"/>
          <w:sz w:val="32"/>
          <w:szCs w:val="32"/>
        </w:rPr>
        <w:t>5</w:t>
      </w:r>
      <w:r>
        <w:rPr>
          <w:rFonts w:hint="eastAsia" w:ascii="楷体_GB2312" w:eastAsia="楷体_GB2312"/>
          <w:color w:val="auto"/>
          <w:sz w:val="32"/>
          <w:szCs w:val="32"/>
          <w:lang w:val="en-US" w:eastAsia="zh-CN"/>
        </w:rPr>
        <w:t>条：</w:t>
      </w:r>
      <w:r>
        <w:rPr>
          <w:rFonts w:hint="eastAsia" w:ascii="楷体_GB2312" w:eastAsia="楷体_GB2312"/>
          <w:color w:val="auto"/>
          <w:sz w:val="32"/>
          <w:szCs w:val="32"/>
        </w:rPr>
        <w:t>加快企业博士后工作站建设。</w:t>
      </w:r>
      <w:r>
        <w:rPr>
          <w:rFonts w:hint="eastAsia" w:eastAsia="仿宋_GB2312"/>
          <w:color w:val="auto"/>
          <w:sz w:val="32"/>
          <w:szCs w:val="32"/>
        </w:rPr>
        <w:t>对申报成为国家级、省级、市级博士后工作站并有在站博士后开展科研活动的，以及博士后出站留我区工作的，均按市级相关政策给予兑现。设站单位招收博士后进站并完成科研项目开题后，在享受市级财政相关补贴基础上，区级财政再给予每年</w:t>
      </w:r>
      <w:r>
        <w:rPr>
          <w:rFonts w:eastAsia="仿宋_GB2312"/>
          <w:color w:val="auto"/>
          <w:sz w:val="32"/>
          <w:szCs w:val="32"/>
        </w:rPr>
        <w:t>10</w:t>
      </w:r>
      <w:r>
        <w:rPr>
          <w:rFonts w:hint="eastAsia" w:eastAsia="仿宋_GB2312"/>
          <w:color w:val="auto"/>
          <w:sz w:val="32"/>
          <w:szCs w:val="32"/>
        </w:rPr>
        <w:t>万元的科研经费补助。博士后进站后在享受市级财政生活补贴基础上，在</w:t>
      </w:r>
      <w:r>
        <w:rPr>
          <w:rFonts w:eastAsia="仿宋_GB2312"/>
          <w:color w:val="auto"/>
          <w:sz w:val="32"/>
          <w:szCs w:val="32"/>
        </w:rPr>
        <w:t>2</w:t>
      </w:r>
      <w:r>
        <w:rPr>
          <w:rFonts w:hint="eastAsia" w:eastAsia="仿宋_GB2312"/>
          <w:color w:val="auto"/>
          <w:sz w:val="32"/>
          <w:szCs w:val="32"/>
        </w:rPr>
        <w:t>年进站期间可享受区级财政每年</w:t>
      </w:r>
      <w:r>
        <w:rPr>
          <w:rFonts w:eastAsia="仿宋_GB2312"/>
          <w:color w:val="auto"/>
          <w:sz w:val="32"/>
          <w:szCs w:val="32"/>
        </w:rPr>
        <w:t>2</w:t>
      </w:r>
      <w:r>
        <w:rPr>
          <w:rFonts w:hint="eastAsia" w:eastAsia="仿宋_GB2312"/>
          <w:color w:val="auto"/>
          <w:sz w:val="32"/>
          <w:szCs w:val="32"/>
        </w:rPr>
        <w:t>万元的生活补贴。对获得省级以上博士后科研项目择优资助的，按</w:t>
      </w:r>
      <w:r>
        <w:rPr>
          <w:rFonts w:eastAsia="仿宋_GB2312"/>
          <w:color w:val="auto"/>
          <w:sz w:val="32"/>
          <w:szCs w:val="32"/>
        </w:rPr>
        <w:t>1:1</w:t>
      </w:r>
      <w:r>
        <w:rPr>
          <w:rFonts w:hint="eastAsia" w:eastAsia="仿宋_GB2312"/>
          <w:color w:val="auto"/>
          <w:sz w:val="32"/>
          <w:szCs w:val="32"/>
        </w:rPr>
        <w:t>给予配套支持。</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eastAsia="仿宋_GB2312"/>
          <w:color w:val="auto"/>
          <w:sz w:val="32"/>
          <w:szCs w:val="32"/>
        </w:rPr>
      </w:pPr>
      <w:r>
        <w:rPr>
          <w:rFonts w:hint="eastAsia" w:ascii="楷体_GB2312" w:eastAsia="楷体_GB2312"/>
          <w:color w:val="auto"/>
          <w:sz w:val="32"/>
          <w:szCs w:val="32"/>
          <w:lang w:val="en-US" w:eastAsia="zh-CN"/>
        </w:rPr>
        <w:t>第16条：</w:t>
      </w:r>
      <w:r>
        <w:rPr>
          <w:rFonts w:hint="eastAsia" w:ascii="楷体_GB2312" w:eastAsia="楷体_GB2312"/>
          <w:color w:val="auto"/>
          <w:sz w:val="32"/>
          <w:szCs w:val="32"/>
        </w:rPr>
        <w:t>加强企业专家创新载体建设。</w:t>
      </w:r>
      <w:r>
        <w:rPr>
          <w:rFonts w:hint="eastAsia" w:eastAsia="仿宋_GB2312"/>
          <w:color w:val="auto"/>
          <w:sz w:val="32"/>
          <w:szCs w:val="32"/>
        </w:rPr>
        <w:t>鼓励和引导高校、科研院所的高端人才智力向企业聚集，促进以企业为主体、市场为导向、产学研相结合的协同创新体系建设；加强企业专家工作站建设，对获得市级重点资助的企业专家工作站给予</w:t>
      </w:r>
      <w:r>
        <w:rPr>
          <w:rFonts w:eastAsia="仿宋_GB2312"/>
          <w:color w:val="auto"/>
          <w:sz w:val="32"/>
          <w:szCs w:val="32"/>
        </w:rPr>
        <w:t>1:1</w:t>
      </w:r>
      <w:r>
        <w:rPr>
          <w:rFonts w:hint="eastAsia" w:eastAsia="仿宋_GB2312"/>
          <w:color w:val="auto"/>
          <w:sz w:val="32"/>
          <w:szCs w:val="32"/>
        </w:rPr>
        <w:t>配套支持，最高</w:t>
      </w:r>
      <w:r>
        <w:rPr>
          <w:rFonts w:eastAsia="仿宋_GB2312"/>
          <w:color w:val="auto"/>
          <w:sz w:val="32"/>
          <w:szCs w:val="32"/>
        </w:rPr>
        <w:t>10</w:t>
      </w:r>
      <w:r>
        <w:rPr>
          <w:rFonts w:hint="eastAsia" w:eastAsia="仿宋_GB2312"/>
          <w:color w:val="auto"/>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641"/>
        <w:textAlignment w:val="auto"/>
        <w:rPr>
          <w:rFonts w:hint="eastAsia" w:eastAsia="仿宋_GB2312"/>
          <w:color w:val="auto"/>
          <w:sz w:val="32"/>
          <w:szCs w:val="32"/>
        </w:rPr>
      </w:pPr>
      <w:r>
        <w:rPr>
          <w:rFonts w:hint="eastAsia" w:ascii="楷体_GB2312" w:eastAsia="楷体_GB2312"/>
          <w:color w:val="auto"/>
          <w:sz w:val="32"/>
          <w:szCs w:val="32"/>
          <w:lang w:val="en-US" w:eastAsia="zh-CN"/>
        </w:rPr>
        <w:t>第18条：</w:t>
      </w:r>
      <w:r>
        <w:rPr>
          <w:rFonts w:hint="eastAsia" w:ascii="楷体_GB2312" w:eastAsia="楷体_GB2312"/>
          <w:color w:val="auto"/>
          <w:sz w:val="32"/>
          <w:szCs w:val="32"/>
        </w:rPr>
        <w:t>推进校地企合作建设。</w:t>
      </w:r>
      <w:r>
        <w:rPr>
          <w:rFonts w:hint="eastAsia" w:eastAsia="仿宋_GB2312"/>
          <w:color w:val="auto"/>
          <w:sz w:val="32"/>
          <w:szCs w:val="32"/>
        </w:rPr>
        <w:t>对企业与在甬高校、科研院所及其他事业单位合作共同引进的人才，作为重点对象推荐高层次人才项目评选。对企业通过柔性引才方式与高校、科研机构开展合作的，按照企业支付给人才的薪酬给予</w:t>
      </w:r>
      <w:r>
        <w:rPr>
          <w:rFonts w:eastAsia="仿宋_GB2312"/>
          <w:color w:val="auto"/>
          <w:sz w:val="32"/>
          <w:szCs w:val="32"/>
        </w:rPr>
        <w:t xml:space="preserve">30% </w:t>
      </w:r>
      <w:r>
        <w:rPr>
          <w:rFonts w:hint="eastAsia" w:eastAsia="仿宋_GB2312"/>
          <w:color w:val="auto"/>
          <w:sz w:val="32"/>
          <w:szCs w:val="32"/>
        </w:rPr>
        <w:t>比例的补助，每家企业每年最高</w:t>
      </w:r>
      <w:r>
        <w:rPr>
          <w:rFonts w:eastAsia="仿宋_GB2312"/>
          <w:color w:val="auto"/>
          <w:sz w:val="32"/>
          <w:szCs w:val="32"/>
        </w:rPr>
        <w:t>20</w:t>
      </w:r>
      <w:r>
        <w:rPr>
          <w:rFonts w:hint="eastAsia" w:eastAsia="仿宋_GB2312"/>
          <w:color w:val="auto"/>
          <w:sz w:val="32"/>
          <w:szCs w:val="32"/>
        </w:rPr>
        <w:t>万元。鼓励企业建设高校毕业生实践基地，对管理规范、成绩突出的给予最高</w:t>
      </w:r>
      <w:r>
        <w:rPr>
          <w:rFonts w:eastAsia="仿宋_GB2312"/>
          <w:color w:val="auto"/>
          <w:sz w:val="32"/>
          <w:szCs w:val="32"/>
        </w:rPr>
        <w:t>10</w:t>
      </w:r>
      <w:r>
        <w:rPr>
          <w:rFonts w:hint="eastAsia" w:eastAsia="仿宋_GB2312"/>
          <w:color w:val="auto"/>
          <w:sz w:val="32"/>
          <w:szCs w:val="32"/>
        </w:rPr>
        <w:t>万元的奖励。鼓励企业委托高校定向培养全日制本科及以上学历毕业生，按照企业支付给高校培养经费的</w:t>
      </w:r>
      <w:r>
        <w:rPr>
          <w:rFonts w:eastAsia="仿宋_GB2312"/>
          <w:color w:val="auto"/>
          <w:sz w:val="32"/>
          <w:szCs w:val="32"/>
        </w:rPr>
        <w:t>30%</w:t>
      </w:r>
      <w:r>
        <w:rPr>
          <w:rFonts w:hint="eastAsia" w:eastAsia="仿宋_GB2312"/>
          <w:color w:val="auto"/>
          <w:sz w:val="32"/>
          <w:szCs w:val="32"/>
        </w:rPr>
        <w:t>给予补助，每家企业每年最高</w:t>
      </w:r>
      <w:r>
        <w:rPr>
          <w:rFonts w:eastAsia="仿宋_GB2312"/>
          <w:color w:val="auto"/>
          <w:sz w:val="32"/>
          <w:szCs w:val="32"/>
        </w:rPr>
        <w:t>20</w:t>
      </w:r>
      <w:r>
        <w:rPr>
          <w:rFonts w:hint="eastAsia" w:eastAsia="仿宋_GB2312"/>
          <w:color w:val="auto"/>
          <w:sz w:val="32"/>
          <w:szCs w:val="32"/>
        </w:rPr>
        <w:t>万元。</w:t>
      </w:r>
    </w:p>
    <w:sectPr>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8"/>
        <w:szCs w:val="28"/>
      </w:rPr>
    </w:pP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10</w:t>
    </w:r>
    <w:r>
      <w:rPr>
        <w:rStyle w:val="10"/>
        <w:rFonts w:ascii="宋体" w:hAnsi="宋体"/>
        <w:sz w:val="28"/>
        <w:szCs w:val="28"/>
      </w:rPr>
      <w:fldChar w:fldCharType="end"/>
    </w:r>
    <w:r>
      <w:rPr>
        <w:rStyle w:val="10"/>
        <w:rFonts w:ascii="宋体" w:hAnsi="宋体"/>
        <w:sz w:val="28"/>
        <w:szCs w:val="28"/>
      </w:rPr>
      <w:t xml:space="preserve"> —</w:t>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OWQ0Yzg4MTUwY2YyOWRmNDVkMTk1NGU1NzhmOGQifQ=="/>
  </w:docVars>
  <w:rsids>
    <w:rsidRoot w:val="00FC377A"/>
    <w:rsid w:val="00000F48"/>
    <w:rsid w:val="00003A60"/>
    <w:rsid w:val="0001563D"/>
    <w:rsid w:val="000204DF"/>
    <w:rsid w:val="00023215"/>
    <w:rsid w:val="00023E4D"/>
    <w:rsid w:val="0002452C"/>
    <w:rsid w:val="00026618"/>
    <w:rsid w:val="00041CDA"/>
    <w:rsid w:val="00057D2F"/>
    <w:rsid w:val="00072AF7"/>
    <w:rsid w:val="00085F7D"/>
    <w:rsid w:val="000939B1"/>
    <w:rsid w:val="000A26F1"/>
    <w:rsid w:val="000A61FF"/>
    <w:rsid w:val="000A6A2B"/>
    <w:rsid w:val="000B15AA"/>
    <w:rsid w:val="000B237A"/>
    <w:rsid w:val="000C400B"/>
    <w:rsid w:val="000D1AEC"/>
    <w:rsid w:val="000D4307"/>
    <w:rsid w:val="000E45AF"/>
    <w:rsid w:val="000F405C"/>
    <w:rsid w:val="001000AE"/>
    <w:rsid w:val="00104A4A"/>
    <w:rsid w:val="00110D5C"/>
    <w:rsid w:val="00117CF3"/>
    <w:rsid w:val="00120467"/>
    <w:rsid w:val="00137F76"/>
    <w:rsid w:val="00147AAA"/>
    <w:rsid w:val="00154608"/>
    <w:rsid w:val="00156F2A"/>
    <w:rsid w:val="001659C7"/>
    <w:rsid w:val="001743FF"/>
    <w:rsid w:val="00175346"/>
    <w:rsid w:val="00197596"/>
    <w:rsid w:val="001A4493"/>
    <w:rsid w:val="001A61E8"/>
    <w:rsid w:val="001C0FE0"/>
    <w:rsid w:val="001C37D9"/>
    <w:rsid w:val="001C7FAD"/>
    <w:rsid w:val="001F30D1"/>
    <w:rsid w:val="001F45FC"/>
    <w:rsid w:val="001F49CF"/>
    <w:rsid w:val="001F7B81"/>
    <w:rsid w:val="00210225"/>
    <w:rsid w:val="00225256"/>
    <w:rsid w:val="00226FCB"/>
    <w:rsid w:val="00233204"/>
    <w:rsid w:val="00243402"/>
    <w:rsid w:val="0024653F"/>
    <w:rsid w:val="00257561"/>
    <w:rsid w:val="00261603"/>
    <w:rsid w:val="00263555"/>
    <w:rsid w:val="002652A6"/>
    <w:rsid w:val="002850EB"/>
    <w:rsid w:val="002908A1"/>
    <w:rsid w:val="00291C79"/>
    <w:rsid w:val="00294FA1"/>
    <w:rsid w:val="0029575A"/>
    <w:rsid w:val="002970EF"/>
    <w:rsid w:val="002C15E7"/>
    <w:rsid w:val="002C5FD0"/>
    <w:rsid w:val="002C6665"/>
    <w:rsid w:val="002C6959"/>
    <w:rsid w:val="002C7ABF"/>
    <w:rsid w:val="002D436C"/>
    <w:rsid w:val="002E34D2"/>
    <w:rsid w:val="002E4218"/>
    <w:rsid w:val="002E59AD"/>
    <w:rsid w:val="002E59D3"/>
    <w:rsid w:val="002F404F"/>
    <w:rsid w:val="002F4831"/>
    <w:rsid w:val="00300800"/>
    <w:rsid w:val="003017FA"/>
    <w:rsid w:val="00305C1C"/>
    <w:rsid w:val="00311E59"/>
    <w:rsid w:val="003226CD"/>
    <w:rsid w:val="0033522C"/>
    <w:rsid w:val="003407D0"/>
    <w:rsid w:val="003416B5"/>
    <w:rsid w:val="0034737E"/>
    <w:rsid w:val="00363246"/>
    <w:rsid w:val="00386FAE"/>
    <w:rsid w:val="003878FF"/>
    <w:rsid w:val="0039312C"/>
    <w:rsid w:val="003A33FD"/>
    <w:rsid w:val="003B1FB6"/>
    <w:rsid w:val="003B2597"/>
    <w:rsid w:val="003B36E2"/>
    <w:rsid w:val="003B52AE"/>
    <w:rsid w:val="003B7A32"/>
    <w:rsid w:val="003C3B34"/>
    <w:rsid w:val="003C726D"/>
    <w:rsid w:val="003D1294"/>
    <w:rsid w:val="003D2FA6"/>
    <w:rsid w:val="003D4C41"/>
    <w:rsid w:val="003E3E6B"/>
    <w:rsid w:val="003E4D93"/>
    <w:rsid w:val="003F1032"/>
    <w:rsid w:val="003F132E"/>
    <w:rsid w:val="00400BC3"/>
    <w:rsid w:val="0041245F"/>
    <w:rsid w:val="0041466D"/>
    <w:rsid w:val="0042676A"/>
    <w:rsid w:val="00440F64"/>
    <w:rsid w:val="00443478"/>
    <w:rsid w:val="00445BF1"/>
    <w:rsid w:val="004509FF"/>
    <w:rsid w:val="00454CC5"/>
    <w:rsid w:val="00455A0C"/>
    <w:rsid w:val="004610B6"/>
    <w:rsid w:val="004708AA"/>
    <w:rsid w:val="004734C2"/>
    <w:rsid w:val="004735EA"/>
    <w:rsid w:val="00474C3D"/>
    <w:rsid w:val="00476768"/>
    <w:rsid w:val="0047792A"/>
    <w:rsid w:val="00486363"/>
    <w:rsid w:val="00491A21"/>
    <w:rsid w:val="004923C2"/>
    <w:rsid w:val="004A3998"/>
    <w:rsid w:val="004A54D7"/>
    <w:rsid w:val="004A6810"/>
    <w:rsid w:val="004B00F3"/>
    <w:rsid w:val="004B51EC"/>
    <w:rsid w:val="004E7B64"/>
    <w:rsid w:val="004F2713"/>
    <w:rsid w:val="004F350F"/>
    <w:rsid w:val="005012C2"/>
    <w:rsid w:val="005069FA"/>
    <w:rsid w:val="00507A1F"/>
    <w:rsid w:val="0051522A"/>
    <w:rsid w:val="00525DB4"/>
    <w:rsid w:val="00532520"/>
    <w:rsid w:val="00532AA8"/>
    <w:rsid w:val="00533ED6"/>
    <w:rsid w:val="00534703"/>
    <w:rsid w:val="00540E47"/>
    <w:rsid w:val="00546163"/>
    <w:rsid w:val="005507A2"/>
    <w:rsid w:val="00562FD1"/>
    <w:rsid w:val="00565A21"/>
    <w:rsid w:val="00571D60"/>
    <w:rsid w:val="005838D9"/>
    <w:rsid w:val="005850B5"/>
    <w:rsid w:val="00585B52"/>
    <w:rsid w:val="0058643D"/>
    <w:rsid w:val="005924F1"/>
    <w:rsid w:val="005A3084"/>
    <w:rsid w:val="005B0B79"/>
    <w:rsid w:val="005B5F6F"/>
    <w:rsid w:val="005E6AE7"/>
    <w:rsid w:val="005F3FE0"/>
    <w:rsid w:val="005F54F9"/>
    <w:rsid w:val="00600511"/>
    <w:rsid w:val="0060381A"/>
    <w:rsid w:val="00604A32"/>
    <w:rsid w:val="006070BC"/>
    <w:rsid w:val="00613C1A"/>
    <w:rsid w:val="00616883"/>
    <w:rsid w:val="00622318"/>
    <w:rsid w:val="00625603"/>
    <w:rsid w:val="00625BC6"/>
    <w:rsid w:val="00631366"/>
    <w:rsid w:val="00634B8F"/>
    <w:rsid w:val="00635486"/>
    <w:rsid w:val="00637C09"/>
    <w:rsid w:val="006404DA"/>
    <w:rsid w:val="00645B6A"/>
    <w:rsid w:val="006562FA"/>
    <w:rsid w:val="00663E1F"/>
    <w:rsid w:val="0067156A"/>
    <w:rsid w:val="00677554"/>
    <w:rsid w:val="006775B3"/>
    <w:rsid w:val="00677D31"/>
    <w:rsid w:val="00680F75"/>
    <w:rsid w:val="006871FA"/>
    <w:rsid w:val="00691A13"/>
    <w:rsid w:val="00691F7E"/>
    <w:rsid w:val="00693FBD"/>
    <w:rsid w:val="006955AE"/>
    <w:rsid w:val="006A225C"/>
    <w:rsid w:val="006A2667"/>
    <w:rsid w:val="006C12CD"/>
    <w:rsid w:val="006C4872"/>
    <w:rsid w:val="006C50EA"/>
    <w:rsid w:val="006C5276"/>
    <w:rsid w:val="006D06FC"/>
    <w:rsid w:val="006D218B"/>
    <w:rsid w:val="006D5F14"/>
    <w:rsid w:val="006E2A07"/>
    <w:rsid w:val="006E60A2"/>
    <w:rsid w:val="006F06B4"/>
    <w:rsid w:val="006F4615"/>
    <w:rsid w:val="006F57BF"/>
    <w:rsid w:val="0070691D"/>
    <w:rsid w:val="00706D49"/>
    <w:rsid w:val="0070781B"/>
    <w:rsid w:val="00707C88"/>
    <w:rsid w:val="00717FF7"/>
    <w:rsid w:val="00722895"/>
    <w:rsid w:val="00727BFB"/>
    <w:rsid w:val="00734AC2"/>
    <w:rsid w:val="00743155"/>
    <w:rsid w:val="00745D4E"/>
    <w:rsid w:val="00760ED7"/>
    <w:rsid w:val="0077195A"/>
    <w:rsid w:val="00771AD8"/>
    <w:rsid w:val="00790AA3"/>
    <w:rsid w:val="007A205A"/>
    <w:rsid w:val="007A5426"/>
    <w:rsid w:val="007B5AE4"/>
    <w:rsid w:val="007C64D3"/>
    <w:rsid w:val="007D3234"/>
    <w:rsid w:val="007D47F4"/>
    <w:rsid w:val="007D734F"/>
    <w:rsid w:val="007E0D68"/>
    <w:rsid w:val="007F0DAC"/>
    <w:rsid w:val="007F59DE"/>
    <w:rsid w:val="007F6697"/>
    <w:rsid w:val="0080175C"/>
    <w:rsid w:val="00801AC0"/>
    <w:rsid w:val="00803A7B"/>
    <w:rsid w:val="008162B6"/>
    <w:rsid w:val="00817A78"/>
    <w:rsid w:val="008218FD"/>
    <w:rsid w:val="00826D97"/>
    <w:rsid w:val="0083780D"/>
    <w:rsid w:val="0084456E"/>
    <w:rsid w:val="00844DDE"/>
    <w:rsid w:val="00846865"/>
    <w:rsid w:val="00863FD4"/>
    <w:rsid w:val="008657C0"/>
    <w:rsid w:val="00867C85"/>
    <w:rsid w:val="008870FB"/>
    <w:rsid w:val="00890C29"/>
    <w:rsid w:val="00892A71"/>
    <w:rsid w:val="00896DB6"/>
    <w:rsid w:val="008B29AC"/>
    <w:rsid w:val="008B4B6D"/>
    <w:rsid w:val="008B721D"/>
    <w:rsid w:val="008C35E2"/>
    <w:rsid w:val="008C7CAF"/>
    <w:rsid w:val="008D2015"/>
    <w:rsid w:val="008D3312"/>
    <w:rsid w:val="008D3CDE"/>
    <w:rsid w:val="008E3D52"/>
    <w:rsid w:val="008E444E"/>
    <w:rsid w:val="008E67E7"/>
    <w:rsid w:val="008F7395"/>
    <w:rsid w:val="009005A8"/>
    <w:rsid w:val="00910ADF"/>
    <w:rsid w:val="009216F4"/>
    <w:rsid w:val="00921954"/>
    <w:rsid w:val="00931EAE"/>
    <w:rsid w:val="00933450"/>
    <w:rsid w:val="00936184"/>
    <w:rsid w:val="00943851"/>
    <w:rsid w:val="009730E5"/>
    <w:rsid w:val="009801CC"/>
    <w:rsid w:val="00981155"/>
    <w:rsid w:val="00981E81"/>
    <w:rsid w:val="00986297"/>
    <w:rsid w:val="00994C46"/>
    <w:rsid w:val="009A20B2"/>
    <w:rsid w:val="009B431B"/>
    <w:rsid w:val="009C5C5C"/>
    <w:rsid w:val="009D047D"/>
    <w:rsid w:val="009D57E2"/>
    <w:rsid w:val="009E0EEC"/>
    <w:rsid w:val="009F1DC9"/>
    <w:rsid w:val="009F797D"/>
    <w:rsid w:val="00A151FE"/>
    <w:rsid w:val="00A22178"/>
    <w:rsid w:val="00A277D1"/>
    <w:rsid w:val="00A31ADA"/>
    <w:rsid w:val="00A3627F"/>
    <w:rsid w:val="00A51F7E"/>
    <w:rsid w:val="00A5279E"/>
    <w:rsid w:val="00A56010"/>
    <w:rsid w:val="00A610B1"/>
    <w:rsid w:val="00A7080C"/>
    <w:rsid w:val="00A70FE1"/>
    <w:rsid w:val="00A82EB1"/>
    <w:rsid w:val="00AA7F78"/>
    <w:rsid w:val="00AB5A72"/>
    <w:rsid w:val="00AB67CA"/>
    <w:rsid w:val="00AB7ADC"/>
    <w:rsid w:val="00AC1571"/>
    <w:rsid w:val="00AC34DB"/>
    <w:rsid w:val="00AD241A"/>
    <w:rsid w:val="00AD3248"/>
    <w:rsid w:val="00AE3068"/>
    <w:rsid w:val="00AF4057"/>
    <w:rsid w:val="00B159FE"/>
    <w:rsid w:val="00B21F99"/>
    <w:rsid w:val="00B22F15"/>
    <w:rsid w:val="00B23F86"/>
    <w:rsid w:val="00B24141"/>
    <w:rsid w:val="00B26FCE"/>
    <w:rsid w:val="00B31676"/>
    <w:rsid w:val="00B33431"/>
    <w:rsid w:val="00B35E5A"/>
    <w:rsid w:val="00B5278E"/>
    <w:rsid w:val="00B54D28"/>
    <w:rsid w:val="00B550AB"/>
    <w:rsid w:val="00B61CE7"/>
    <w:rsid w:val="00B6556D"/>
    <w:rsid w:val="00B725AF"/>
    <w:rsid w:val="00B733AD"/>
    <w:rsid w:val="00B77C3D"/>
    <w:rsid w:val="00B8623F"/>
    <w:rsid w:val="00B86FC8"/>
    <w:rsid w:val="00B9111A"/>
    <w:rsid w:val="00BA0F0E"/>
    <w:rsid w:val="00BA3D0B"/>
    <w:rsid w:val="00BB03BB"/>
    <w:rsid w:val="00BB5CE4"/>
    <w:rsid w:val="00BC48C0"/>
    <w:rsid w:val="00BC70EA"/>
    <w:rsid w:val="00BD43E8"/>
    <w:rsid w:val="00BE50C3"/>
    <w:rsid w:val="00BE699F"/>
    <w:rsid w:val="00BF3B82"/>
    <w:rsid w:val="00BF3D27"/>
    <w:rsid w:val="00C02BD1"/>
    <w:rsid w:val="00C0426F"/>
    <w:rsid w:val="00C04275"/>
    <w:rsid w:val="00C06EB0"/>
    <w:rsid w:val="00C1068A"/>
    <w:rsid w:val="00C12935"/>
    <w:rsid w:val="00C330CB"/>
    <w:rsid w:val="00C34BD1"/>
    <w:rsid w:val="00C41CD1"/>
    <w:rsid w:val="00C60B8F"/>
    <w:rsid w:val="00C74B91"/>
    <w:rsid w:val="00C85412"/>
    <w:rsid w:val="00C87FB3"/>
    <w:rsid w:val="00C93D7F"/>
    <w:rsid w:val="00CC7C08"/>
    <w:rsid w:val="00CE33D0"/>
    <w:rsid w:val="00CE7121"/>
    <w:rsid w:val="00D058C8"/>
    <w:rsid w:val="00D05AA2"/>
    <w:rsid w:val="00D05FA6"/>
    <w:rsid w:val="00D17128"/>
    <w:rsid w:val="00D260E3"/>
    <w:rsid w:val="00D301A9"/>
    <w:rsid w:val="00D40601"/>
    <w:rsid w:val="00D44890"/>
    <w:rsid w:val="00D51193"/>
    <w:rsid w:val="00D541CA"/>
    <w:rsid w:val="00D6102B"/>
    <w:rsid w:val="00D62B44"/>
    <w:rsid w:val="00D644F7"/>
    <w:rsid w:val="00D6620F"/>
    <w:rsid w:val="00D748F5"/>
    <w:rsid w:val="00D75A29"/>
    <w:rsid w:val="00D87BD3"/>
    <w:rsid w:val="00D91BF4"/>
    <w:rsid w:val="00DA1385"/>
    <w:rsid w:val="00DA4691"/>
    <w:rsid w:val="00DA7A35"/>
    <w:rsid w:val="00DC08CA"/>
    <w:rsid w:val="00DC1029"/>
    <w:rsid w:val="00DF017F"/>
    <w:rsid w:val="00DF28DF"/>
    <w:rsid w:val="00DF3040"/>
    <w:rsid w:val="00DF3261"/>
    <w:rsid w:val="00DF385B"/>
    <w:rsid w:val="00DF574B"/>
    <w:rsid w:val="00DF76F4"/>
    <w:rsid w:val="00DF7F84"/>
    <w:rsid w:val="00E0259E"/>
    <w:rsid w:val="00E02C22"/>
    <w:rsid w:val="00E11D1C"/>
    <w:rsid w:val="00E125A4"/>
    <w:rsid w:val="00E132DB"/>
    <w:rsid w:val="00E20101"/>
    <w:rsid w:val="00E2198E"/>
    <w:rsid w:val="00E303C3"/>
    <w:rsid w:val="00E34DB1"/>
    <w:rsid w:val="00E41235"/>
    <w:rsid w:val="00E42063"/>
    <w:rsid w:val="00E449BD"/>
    <w:rsid w:val="00E452D5"/>
    <w:rsid w:val="00E5158A"/>
    <w:rsid w:val="00E51B62"/>
    <w:rsid w:val="00E54DE9"/>
    <w:rsid w:val="00E62E4C"/>
    <w:rsid w:val="00E641AD"/>
    <w:rsid w:val="00E646BF"/>
    <w:rsid w:val="00E7006F"/>
    <w:rsid w:val="00E74178"/>
    <w:rsid w:val="00E75A7D"/>
    <w:rsid w:val="00E76AF5"/>
    <w:rsid w:val="00E841F2"/>
    <w:rsid w:val="00E84CE4"/>
    <w:rsid w:val="00E87505"/>
    <w:rsid w:val="00E91F9E"/>
    <w:rsid w:val="00EA68E4"/>
    <w:rsid w:val="00EC1AA3"/>
    <w:rsid w:val="00ED5520"/>
    <w:rsid w:val="00EE254D"/>
    <w:rsid w:val="00EE38E6"/>
    <w:rsid w:val="00EE4BC9"/>
    <w:rsid w:val="00EE74CD"/>
    <w:rsid w:val="00EF281E"/>
    <w:rsid w:val="00EF5E17"/>
    <w:rsid w:val="00F05E46"/>
    <w:rsid w:val="00F11E0D"/>
    <w:rsid w:val="00F13E31"/>
    <w:rsid w:val="00F27367"/>
    <w:rsid w:val="00F308FB"/>
    <w:rsid w:val="00F36648"/>
    <w:rsid w:val="00F401A4"/>
    <w:rsid w:val="00F40416"/>
    <w:rsid w:val="00F46AC5"/>
    <w:rsid w:val="00F57086"/>
    <w:rsid w:val="00F65D7C"/>
    <w:rsid w:val="00F7357F"/>
    <w:rsid w:val="00F77BA5"/>
    <w:rsid w:val="00F810EE"/>
    <w:rsid w:val="00F85835"/>
    <w:rsid w:val="00FA045D"/>
    <w:rsid w:val="00FA11AA"/>
    <w:rsid w:val="00FB288A"/>
    <w:rsid w:val="00FC377A"/>
    <w:rsid w:val="00FC3C6C"/>
    <w:rsid w:val="00FC4F49"/>
    <w:rsid w:val="00FC77EF"/>
    <w:rsid w:val="00FE404E"/>
    <w:rsid w:val="00FF36DD"/>
    <w:rsid w:val="00FF437B"/>
    <w:rsid w:val="00FF5126"/>
    <w:rsid w:val="00FF6B18"/>
    <w:rsid w:val="032C4BFA"/>
    <w:rsid w:val="07326EF0"/>
    <w:rsid w:val="073D6442"/>
    <w:rsid w:val="0741708C"/>
    <w:rsid w:val="08C643A2"/>
    <w:rsid w:val="09A3640D"/>
    <w:rsid w:val="09C51EF3"/>
    <w:rsid w:val="0AA147B4"/>
    <w:rsid w:val="0C9B3F2D"/>
    <w:rsid w:val="0EAA5E18"/>
    <w:rsid w:val="10686081"/>
    <w:rsid w:val="10765B07"/>
    <w:rsid w:val="108C3700"/>
    <w:rsid w:val="1152726E"/>
    <w:rsid w:val="13341D29"/>
    <w:rsid w:val="13353333"/>
    <w:rsid w:val="13CB4C85"/>
    <w:rsid w:val="14E55858"/>
    <w:rsid w:val="151B6880"/>
    <w:rsid w:val="15414B9A"/>
    <w:rsid w:val="15CB4999"/>
    <w:rsid w:val="1674711A"/>
    <w:rsid w:val="16832AF8"/>
    <w:rsid w:val="16B76656"/>
    <w:rsid w:val="19094E83"/>
    <w:rsid w:val="1A4A13E0"/>
    <w:rsid w:val="1A9B77F5"/>
    <w:rsid w:val="1C066E68"/>
    <w:rsid w:val="1C3A6CAF"/>
    <w:rsid w:val="1E955971"/>
    <w:rsid w:val="1EB119DA"/>
    <w:rsid w:val="22177568"/>
    <w:rsid w:val="2300406D"/>
    <w:rsid w:val="23430AEA"/>
    <w:rsid w:val="247F4F1C"/>
    <w:rsid w:val="254579D2"/>
    <w:rsid w:val="255F4B68"/>
    <w:rsid w:val="2658466C"/>
    <w:rsid w:val="26823170"/>
    <w:rsid w:val="26B25AEB"/>
    <w:rsid w:val="26C94391"/>
    <w:rsid w:val="27481F6B"/>
    <w:rsid w:val="28506D85"/>
    <w:rsid w:val="288A44DA"/>
    <w:rsid w:val="28DA26D9"/>
    <w:rsid w:val="2B7D5851"/>
    <w:rsid w:val="2B7F1A41"/>
    <w:rsid w:val="2CE90544"/>
    <w:rsid w:val="2DD818C5"/>
    <w:rsid w:val="2E244A51"/>
    <w:rsid w:val="2F0540C3"/>
    <w:rsid w:val="2F1579F7"/>
    <w:rsid w:val="3117439D"/>
    <w:rsid w:val="325B56AB"/>
    <w:rsid w:val="32D664AC"/>
    <w:rsid w:val="349300AC"/>
    <w:rsid w:val="356A3892"/>
    <w:rsid w:val="36084A21"/>
    <w:rsid w:val="36EE2FDF"/>
    <w:rsid w:val="36F229DF"/>
    <w:rsid w:val="370D7006"/>
    <w:rsid w:val="378065D5"/>
    <w:rsid w:val="37E73289"/>
    <w:rsid w:val="380D5C68"/>
    <w:rsid w:val="3ABB4B68"/>
    <w:rsid w:val="3B174A94"/>
    <w:rsid w:val="3DC805C1"/>
    <w:rsid w:val="40B00AD6"/>
    <w:rsid w:val="418026BB"/>
    <w:rsid w:val="41D7169C"/>
    <w:rsid w:val="42AC3AE5"/>
    <w:rsid w:val="44536021"/>
    <w:rsid w:val="44A22802"/>
    <w:rsid w:val="454B17F1"/>
    <w:rsid w:val="46F62794"/>
    <w:rsid w:val="47CE5A04"/>
    <w:rsid w:val="484F31E3"/>
    <w:rsid w:val="49814029"/>
    <w:rsid w:val="4BA15208"/>
    <w:rsid w:val="4D863712"/>
    <w:rsid w:val="50BB04CC"/>
    <w:rsid w:val="51005CC0"/>
    <w:rsid w:val="529D58E2"/>
    <w:rsid w:val="52EA0FF5"/>
    <w:rsid w:val="538B0254"/>
    <w:rsid w:val="56537AC9"/>
    <w:rsid w:val="583208F3"/>
    <w:rsid w:val="584023C4"/>
    <w:rsid w:val="58CA4DD5"/>
    <w:rsid w:val="593B29C2"/>
    <w:rsid w:val="59B95947"/>
    <w:rsid w:val="5A6E54F7"/>
    <w:rsid w:val="5B6502E0"/>
    <w:rsid w:val="5CDD08CA"/>
    <w:rsid w:val="5D8F7622"/>
    <w:rsid w:val="5DA973C9"/>
    <w:rsid w:val="5E8B5496"/>
    <w:rsid w:val="5E90711F"/>
    <w:rsid w:val="5FF25E5B"/>
    <w:rsid w:val="614E19A0"/>
    <w:rsid w:val="619E0CE3"/>
    <w:rsid w:val="63346EED"/>
    <w:rsid w:val="639A76EB"/>
    <w:rsid w:val="640D3CDB"/>
    <w:rsid w:val="6428042D"/>
    <w:rsid w:val="664072C5"/>
    <w:rsid w:val="67343494"/>
    <w:rsid w:val="67AA1996"/>
    <w:rsid w:val="68DE3AF6"/>
    <w:rsid w:val="68F158A9"/>
    <w:rsid w:val="69C06912"/>
    <w:rsid w:val="6A6F6C96"/>
    <w:rsid w:val="6AAF344E"/>
    <w:rsid w:val="6AFF555A"/>
    <w:rsid w:val="6B6D3581"/>
    <w:rsid w:val="6BFF27C7"/>
    <w:rsid w:val="6E3621FD"/>
    <w:rsid w:val="6FF63C34"/>
    <w:rsid w:val="71FA210E"/>
    <w:rsid w:val="721008E8"/>
    <w:rsid w:val="724C03DF"/>
    <w:rsid w:val="72693627"/>
    <w:rsid w:val="72DD64C2"/>
    <w:rsid w:val="74601A44"/>
    <w:rsid w:val="7536290A"/>
    <w:rsid w:val="75803F49"/>
    <w:rsid w:val="760502BB"/>
    <w:rsid w:val="761D1EF2"/>
    <w:rsid w:val="78B0571C"/>
    <w:rsid w:val="79D327F2"/>
    <w:rsid w:val="79F64CED"/>
    <w:rsid w:val="7A727446"/>
    <w:rsid w:val="7B6406F8"/>
    <w:rsid w:val="7C406CFE"/>
    <w:rsid w:val="7DDF0BA0"/>
    <w:rsid w:val="7EE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微软雅黑" w:eastAsia="宋体" w:cs="仿宋_GB2312"/>
      <w:color w:val="000000"/>
      <w:kern w:val="2"/>
      <w:sz w:val="28"/>
      <w:szCs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5"/>
    <w:semiHidden/>
    <w:qFormat/>
    <w:uiPriority w:val="0"/>
    <w:rPr>
      <w:rFonts w:cs="Times New Roman"/>
      <w:sz w:val="18"/>
      <w:szCs w:val="18"/>
    </w:rPr>
  </w:style>
  <w:style w:type="paragraph" w:styleId="4">
    <w:name w:val="footer"/>
    <w:basedOn w:val="1"/>
    <w:link w:val="16"/>
    <w:qFormat/>
    <w:uiPriority w:val="0"/>
    <w:pPr>
      <w:tabs>
        <w:tab w:val="center" w:pos="4153"/>
        <w:tab w:val="right" w:pos="8306"/>
      </w:tabs>
      <w:snapToGrid w:val="0"/>
      <w:jc w:val="left"/>
    </w:pPr>
    <w:rPr>
      <w:rFonts w:ascii="Times New Roman" w:hAnsi="Times New Roman" w:cs="Times New Roman"/>
      <w:color w:val="auto"/>
      <w:kern w:val="0"/>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cs="Times New Roman"/>
      <w:color w:val="auto"/>
      <w:kern w:val="0"/>
      <w:sz w:val="18"/>
      <w:szCs w:val="18"/>
    </w:rPr>
  </w:style>
  <w:style w:type="paragraph" w:styleId="6">
    <w:name w:val="Normal (Web)"/>
    <w:basedOn w:val="1"/>
    <w:qFormat/>
    <w:uiPriority w:val="0"/>
    <w:pPr>
      <w:spacing w:before="100" w:beforeAutospacing="1" w:after="100" w:afterAutospacing="1"/>
      <w:jc w:val="left"/>
    </w:pPr>
    <w:rPr>
      <w:rFonts w:ascii="Calibri" w:hAnsi="Calibri" w:cs="Times New Roman"/>
      <w:color w:val="auto"/>
      <w:kern w:val="0"/>
      <w:sz w:val="24"/>
      <w:szCs w:val="24"/>
    </w:rPr>
  </w:style>
  <w:style w:type="character" w:styleId="9">
    <w:name w:val="Strong"/>
    <w:basedOn w:val="8"/>
    <w:qFormat/>
    <w:uiPriority w:val="0"/>
    <w:rPr>
      <w:rFonts w:ascii="Times New Roman" w:hAnsi="Times New Roman" w:eastAsia="宋体" w:cs="Times New Roman"/>
    </w:rPr>
  </w:style>
  <w:style w:type="character" w:styleId="10">
    <w:name w:val="page number"/>
    <w:basedOn w:val="8"/>
    <w:qFormat/>
    <w:uiPriority w:val="0"/>
    <w:rPr>
      <w:rFonts w:ascii="Times New Roman" w:hAnsi="Times New Roman" w:eastAsia="宋体" w:cs="Times New Roman"/>
    </w:rPr>
  </w:style>
  <w:style w:type="character" w:styleId="11">
    <w:name w:val="FollowedHyperlink"/>
    <w:basedOn w:val="8"/>
    <w:qFormat/>
    <w:uiPriority w:val="0"/>
    <w:rPr>
      <w:rFonts w:ascii="Times New Roman" w:hAnsi="Times New Roman" w:eastAsia="宋体" w:cs="Times New Roman"/>
      <w:color w:val="3D3D3D"/>
      <w:u w:val="none"/>
    </w:rPr>
  </w:style>
  <w:style w:type="character" w:styleId="12">
    <w:name w:val="Hyperlink"/>
    <w:basedOn w:val="8"/>
    <w:qFormat/>
    <w:uiPriority w:val="0"/>
    <w:rPr>
      <w:rFonts w:ascii="Times New Roman" w:hAnsi="Times New Roman" w:eastAsia="宋体" w:cs="Times New Roman"/>
      <w:color w:val="3D3D3D"/>
      <w:u w:val="none"/>
    </w:rPr>
  </w:style>
  <w:style w:type="paragraph" w:customStyle="1" w:styleId="13">
    <w:name w:val="Char Char1 Char Char Char Char Char Char Char Char"/>
    <w:basedOn w:val="1"/>
    <w:qFormat/>
    <w:uiPriority w:val="0"/>
    <w:pPr>
      <w:widowControl/>
      <w:spacing w:after="160" w:line="240" w:lineRule="exact"/>
      <w:jc w:val="left"/>
    </w:pPr>
    <w:rPr>
      <w:rFonts w:ascii="Verdana" w:hAnsi="Verdana" w:cs="Times New Roman"/>
      <w:color w:val="auto"/>
      <w:kern w:val="0"/>
      <w:sz w:val="20"/>
      <w:szCs w:val="20"/>
      <w:lang w:eastAsia="en-US"/>
    </w:rPr>
  </w:style>
  <w:style w:type="character" w:customStyle="1" w:styleId="14">
    <w:name w:val="Header Char"/>
    <w:link w:val="5"/>
    <w:qFormat/>
    <w:uiPriority w:val="0"/>
    <w:rPr>
      <w:rFonts w:ascii="Times New Roman" w:hAnsi="Times New Roman" w:eastAsia="宋体" w:cs="Times New Roman"/>
      <w:sz w:val="18"/>
    </w:rPr>
  </w:style>
  <w:style w:type="character" w:customStyle="1" w:styleId="15">
    <w:name w:val="Balloon Text Char"/>
    <w:link w:val="3"/>
    <w:semiHidden/>
    <w:qFormat/>
    <w:uiPriority w:val="0"/>
    <w:rPr>
      <w:rFonts w:ascii="仿宋_GB2312" w:hAnsi="微软雅黑" w:eastAsia="宋体" w:cs="Times New Roman"/>
      <w:color w:val="000000"/>
      <w:kern w:val="2"/>
      <w:sz w:val="18"/>
    </w:rPr>
  </w:style>
  <w:style w:type="character" w:customStyle="1" w:styleId="16">
    <w:name w:val="Footer Char"/>
    <w:link w:val="4"/>
    <w:qFormat/>
    <w:uiPriority w:val="0"/>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1116</Words>
  <Characters>1152</Characters>
  <Lines>0</Lines>
  <Paragraphs>0</Paragraphs>
  <TotalTime>2</TotalTime>
  <ScaleCrop>false</ScaleCrop>
  <LinksUpToDate>false</LinksUpToDate>
  <CharactersWithSpaces>1153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2021-03-27T02:54:00Z</dcterms:created>
  <dc:creator>苏荻(sudi)/nbjbq</dc:creator>
  <cp:lastModifiedBy>Yoson</cp:lastModifiedBy>
  <dcterms:modified xsi:type="dcterms:W3CDTF">2023-02-20T03:12:26Z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98F13079FCDA42E1AD6D64878F412ADB</vt:lpwstr>
  </property>
</Properties>
</file>