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rPr>
          <w:rFonts w:hint="eastAsia"/>
        </w:rPr>
      </w:pPr>
      <w:r>
        <w:rPr>
          <w:lang/>
        </w:rPr>
        <w:pict>
          <v:shape id="_x0000_s1026" o:spid="_x0000_s1026" o:spt="75" type="#_x0000_t75" style="position:absolute;left:0pt;margin-left:-72pt;margin-top:-109.2pt;height:336.75pt;width:596.25pt;z-index:-251657216;mso-width-relative:page;mso-height-relative:page;" filled="f" stroked="f" coordsize="21600,21600">
            <v:path/>
            <v:fill on="f" focussize="0,0"/>
            <v:stroke on="f"/>
            <v:imagedata r:id="rId7" o:title="宁波市江北区人民政府办公室文件"/>
            <o:lock v:ext="edit" aspectratio="t"/>
          </v:shape>
        </w:pict>
      </w:r>
    </w:p>
    <w:p>
      <w:pPr>
        <w:tabs>
          <w:tab w:val="left" w:pos="7200"/>
        </w:tabs>
        <w:rPr>
          <w:rFonts w:hint="eastAsia"/>
        </w:rPr>
      </w:pPr>
    </w:p>
    <w:p>
      <w:pPr>
        <w:tabs>
          <w:tab w:val="left" w:pos="7200"/>
        </w:tabs>
        <w:rPr>
          <w:rFonts w:hint="eastAsia"/>
        </w:rPr>
      </w:pPr>
    </w:p>
    <w:p>
      <w:pPr>
        <w:tabs>
          <w:tab w:val="left" w:pos="7200"/>
        </w:tabs>
        <w:rPr>
          <w:rFonts w:hint="eastAsia"/>
        </w:rPr>
      </w:pPr>
    </w:p>
    <w:p>
      <w:pPr>
        <w:tabs>
          <w:tab w:val="left" w:pos="7200"/>
        </w:tabs>
        <w:rPr>
          <w:rFonts w:hint="eastAsia"/>
        </w:rPr>
      </w:pPr>
    </w:p>
    <w:p>
      <w:pPr>
        <w:tabs>
          <w:tab w:val="left" w:pos="7200"/>
        </w:tabs>
        <w:rPr>
          <w:rFonts w:hint="eastAsia"/>
        </w:rPr>
      </w:pPr>
    </w:p>
    <w:p>
      <w:pPr>
        <w:tabs>
          <w:tab w:val="left" w:pos="7200"/>
        </w:tabs>
        <w:rPr>
          <w:rFonts w:hint="eastAsia"/>
        </w:rPr>
      </w:pPr>
    </w:p>
    <w:p>
      <w:pPr>
        <w:tabs>
          <w:tab w:val="left" w:pos="7200"/>
        </w:tabs>
        <w:rPr>
          <w:rFonts w:hint="eastAsia"/>
        </w:rPr>
      </w:pPr>
    </w:p>
    <w:p>
      <w:pPr>
        <w:tabs>
          <w:tab w:val="left" w:pos="7200"/>
        </w:tabs>
        <w:rPr>
          <w:rFonts w:hint="eastAsia"/>
        </w:rPr>
      </w:pPr>
    </w:p>
    <w:p>
      <w:pPr>
        <w:tabs>
          <w:tab w:val="left" w:pos="7200"/>
        </w:tabs>
        <w:rPr>
          <w:rFonts w:hint="eastAsia"/>
        </w:rPr>
      </w:pPr>
    </w:p>
    <w:p>
      <w:pPr>
        <w:tabs>
          <w:tab w:val="left" w:pos="7200"/>
        </w:tabs>
        <w:rPr>
          <w:rFonts w:hint="eastAsia"/>
        </w:rPr>
      </w:pPr>
    </w:p>
    <w:p>
      <w:pPr>
        <w:tabs>
          <w:tab w:val="left" w:pos="7200"/>
        </w:tabs>
        <w:rPr>
          <w:rFonts w:hint="eastAsia"/>
        </w:rPr>
      </w:pPr>
    </w:p>
    <w:p>
      <w:pPr>
        <w:spacing w:line="620" w:lineRule="exact"/>
        <w:jc w:val="center"/>
        <w:rPr>
          <w:rFonts w:hint="eastAsia" w:ascii="仿宋_GB2312" w:eastAsia="仿宋_GB2312"/>
          <w:color w:val="000000"/>
          <w:sz w:val="32"/>
          <w:szCs w:val="32"/>
        </w:rPr>
      </w:pPr>
      <w:r>
        <w:rPr>
          <w:rFonts w:hint="eastAsia" w:ascii="仿宋_GB2312" w:eastAsia="仿宋_GB2312" w:cs="仿宋_GB2312"/>
          <w:color w:val="000000"/>
          <w:sz w:val="32"/>
          <w:szCs w:val="32"/>
        </w:rPr>
        <w:t>北区政办发〔2020〕31号</w:t>
      </w:r>
    </w:p>
    <w:p>
      <w:pPr>
        <w:tabs>
          <w:tab w:val="left" w:pos="7200"/>
        </w:tabs>
        <w:rPr>
          <w:rFonts w:hint="eastAsia"/>
        </w:rPr>
      </w:pPr>
    </w:p>
    <w:p>
      <w:pPr>
        <w:tabs>
          <w:tab w:val="left" w:pos="7200"/>
        </w:tabs>
        <w:rPr>
          <w:rFonts w:hint="eastAsia"/>
        </w:rPr>
      </w:pPr>
    </w:p>
    <w:p>
      <w:pPr>
        <w:tabs>
          <w:tab w:val="left" w:pos="7200"/>
        </w:tabs>
        <w:rPr>
          <w:rFonts w:hint="eastAsia"/>
        </w:rPr>
      </w:pPr>
    </w:p>
    <w:p>
      <w:pPr>
        <w:spacing w:line="580" w:lineRule="exact"/>
        <w:jc w:val="center"/>
        <w:rPr>
          <w:rFonts w:eastAsia="方正小标宋简体" w:cs="方正小标宋简体"/>
          <w:color w:val="000000"/>
          <w:sz w:val="44"/>
          <w:szCs w:val="44"/>
        </w:rPr>
      </w:pPr>
      <w:bookmarkStart w:id="0" w:name="Content"/>
      <w:bookmarkEnd w:id="0"/>
      <w:r>
        <w:rPr>
          <w:rFonts w:hint="eastAsia" w:eastAsia="方正小标宋简体" w:cs="方正小标宋简体"/>
          <w:color w:val="000000"/>
          <w:sz w:val="44"/>
          <w:szCs w:val="44"/>
        </w:rPr>
        <w:t>宁波市江北区人民政府办公室</w:t>
      </w:r>
    </w:p>
    <w:p>
      <w:pPr>
        <w:spacing w:line="580" w:lineRule="exact"/>
        <w:jc w:val="center"/>
        <w:rPr>
          <w:rFonts w:ascii="方正小标宋简体" w:hAnsi="Segoe UI" w:eastAsia="方正小标宋简体"/>
          <w:color w:val="111F2C"/>
          <w:sz w:val="44"/>
          <w:szCs w:val="44"/>
          <w:shd w:val="clear" w:color="auto" w:fill="FFFFFF"/>
        </w:rPr>
      </w:pPr>
      <w:bookmarkStart w:id="1" w:name="_GoBack"/>
      <w:r>
        <w:rPr>
          <w:rFonts w:hint="eastAsia" w:ascii="方正小标宋简体" w:hAnsi="Segoe UI" w:eastAsia="方正小标宋简体" w:cs="方正小标宋简体"/>
          <w:color w:val="111F2C"/>
          <w:sz w:val="44"/>
          <w:szCs w:val="44"/>
          <w:shd w:val="clear" w:color="auto" w:fill="FFFFFF"/>
        </w:rPr>
        <w:t>关于印发宁波市江北区人民政府</w:t>
      </w:r>
      <w:r>
        <w:rPr>
          <w:rFonts w:ascii="方正小标宋简体" w:hAnsi="Segoe UI" w:eastAsia="方正小标宋简体" w:cs="方正小标宋简体"/>
          <w:color w:val="111F2C"/>
          <w:sz w:val="44"/>
          <w:szCs w:val="44"/>
          <w:shd w:val="clear" w:color="auto" w:fill="FFFFFF"/>
        </w:rPr>
        <w:t>2020</w:t>
      </w:r>
      <w:r>
        <w:rPr>
          <w:rFonts w:hint="eastAsia" w:ascii="方正小标宋简体" w:hAnsi="Segoe UI" w:eastAsia="方正小标宋简体" w:cs="方正小标宋简体"/>
          <w:color w:val="111F2C"/>
          <w:sz w:val="44"/>
          <w:szCs w:val="44"/>
          <w:shd w:val="clear" w:color="auto" w:fill="FFFFFF"/>
        </w:rPr>
        <w:t>年</w:t>
      </w:r>
    </w:p>
    <w:p>
      <w:pPr>
        <w:spacing w:line="580" w:lineRule="exact"/>
        <w:jc w:val="center"/>
        <w:rPr>
          <w:rFonts w:ascii="方正小标宋简体" w:hAnsi="Segoe UI" w:eastAsia="方正小标宋简体"/>
          <w:color w:val="111F2C"/>
          <w:sz w:val="44"/>
          <w:szCs w:val="44"/>
          <w:shd w:val="clear" w:color="auto" w:fill="FFFFFF"/>
        </w:rPr>
      </w:pPr>
      <w:r>
        <w:rPr>
          <w:rFonts w:hint="eastAsia" w:ascii="方正小标宋简体" w:hAnsi="Segoe UI" w:eastAsia="方正小标宋简体" w:cs="方正小标宋简体"/>
          <w:color w:val="111F2C"/>
          <w:sz w:val="44"/>
          <w:szCs w:val="44"/>
          <w:shd w:val="clear" w:color="auto" w:fill="FFFFFF"/>
        </w:rPr>
        <w:t>重大行政决策事项目录的通知</w:t>
      </w:r>
      <w:bookmarkEnd w:id="1"/>
    </w:p>
    <w:p>
      <w:pPr>
        <w:spacing w:line="580" w:lineRule="exact"/>
        <w:rPr>
          <w:rFonts w:ascii="Segoe UI" w:hAnsi="Segoe UI" w:cs="Segoe UI"/>
          <w:color w:val="111F2C"/>
          <w:shd w:val="clear" w:color="auto" w:fill="FFFFFF"/>
        </w:rPr>
      </w:pPr>
    </w:p>
    <w:p>
      <w:pPr>
        <w:spacing w:line="580" w:lineRule="exact"/>
        <w:rPr>
          <w:rFonts w:ascii="仿宋_GB2312" w:hAnsi="Segoe UI" w:eastAsia="仿宋_GB2312"/>
          <w:sz w:val="32"/>
          <w:szCs w:val="32"/>
          <w:shd w:val="clear" w:color="auto" w:fill="FFFFFF"/>
        </w:rPr>
      </w:pPr>
      <w:r>
        <w:rPr>
          <w:rFonts w:hint="eastAsia" w:ascii="仿宋_GB2312" w:hAnsi="Segoe UI" w:eastAsia="仿宋_GB2312" w:cs="仿宋_GB2312"/>
          <w:sz w:val="32"/>
          <w:szCs w:val="32"/>
          <w:shd w:val="clear" w:color="auto" w:fill="FFFFFF"/>
        </w:rPr>
        <w:t>各街道办事处、慈城镇人民政府，区政府各部门、直属单位：</w:t>
      </w:r>
    </w:p>
    <w:p>
      <w:pPr>
        <w:spacing w:line="580" w:lineRule="exact"/>
        <w:ind w:firstLine="640" w:firstLineChars="200"/>
        <w:rPr>
          <w:rFonts w:ascii="仿宋_GB2312" w:hAnsi="Segoe UI" w:eastAsia="仿宋_GB2312"/>
          <w:sz w:val="32"/>
          <w:szCs w:val="32"/>
          <w:shd w:val="clear" w:color="auto" w:fill="FFFFFF"/>
        </w:rPr>
      </w:pPr>
      <w:r>
        <w:rPr>
          <w:rFonts w:hint="eastAsia" w:ascii="仿宋_GB2312" w:hAnsi="Segoe UI" w:eastAsia="仿宋_GB2312" w:cs="仿宋_GB2312"/>
          <w:sz w:val="32"/>
          <w:szCs w:val="32"/>
          <w:shd w:val="clear" w:color="auto" w:fill="FFFFFF"/>
        </w:rPr>
        <w:t>《宁波市江北区人民政府</w:t>
      </w:r>
      <w:r>
        <w:rPr>
          <w:rFonts w:ascii="仿宋_GB2312" w:hAnsi="Segoe UI" w:eastAsia="仿宋_GB2312" w:cs="仿宋_GB2312"/>
          <w:sz w:val="32"/>
          <w:szCs w:val="32"/>
          <w:shd w:val="clear" w:color="auto" w:fill="FFFFFF"/>
        </w:rPr>
        <w:t>2020</w:t>
      </w:r>
      <w:r>
        <w:rPr>
          <w:rFonts w:hint="eastAsia" w:ascii="仿宋_GB2312" w:hAnsi="Segoe UI" w:eastAsia="仿宋_GB2312" w:cs="仿宋_GB2312"/>
          <w:sz w:val="32"/>
          <w:szCs w:val="32"/>
          <w:shd w:val="clear" w:color="auto" w:fill="FFFFFF"/>
        </w:rPr>
        <w:t>年重大行政决策事项目录》已经区政府同意，现印发给你们，请按照《重大行政决策程序暂行条例》《浙江省重大行政决策程序规定》等有关规定和要求，认真贯彻执行。</w:t>
      </w:r>
    </w:p>
    <w:p>
      <w:pPr>
        <w:spacing w:line="580" w:lineRule="exact"/>
        <w:rPr>
          <w:rFonts w:ascii="仿宋_GB2312" w:hAnsi="Segoe UI" w:eastAsia="仿宋_GB2312"/>
          <w:sz w:val="32"/>
          <w:szCs w:val="32"/>
          <w:shd w:val="clear" w:color="auto" w:fill="FFFFFF"/>
        </w:rPr>
      </w:pPr>
    </w:p>
    <w:p>
      <w:pPr>
        <w:spacing w:line="580" w:lineRule="exact"/>
        <w:rPr>
          <w:rFonts w:ascii="仿宋_GB2312" w:hAnsi="Segoe UI" w:eastAsia="仿宋_GB2312"/>
          <w:sz w:val="32"/>
          <w:szCs w:val="32"/>
          <w:shd w:val="clear" w:color="auto" w:fill="FFFFFF"/>
        </w:rPr>
      </w:pPr>
    </w:p>
    <w:p>
      <w:pPr>
        <w:spacing w:line="580" w:lineRule="exact"/>
        <w:ind w:left="5109" w:leftChars="2052" w:hanging="800" w:hangingChars="250"/>
        <w:rPr>
          <w:rFonts w:hint="eastAsia" w:ascii="仿宋_GB2312" w:hAnsi="Segoe UI" w:eastAsia="仿宋_GB2312" w:cs="仿宋_GB2312"/>
          <w:sz w:val="32"/>
          <w:szCs w:val="32"/>
          <w:shd w:val="clear" w:color="auto" w:fill="FFFFFF"/>
        </w:rPr>
      </w:pPr>
      <w:r>
        <w:rPr>
          <w:rFonts w:hint="eastAsia" w:ascii="仿宋_GB2312" w:hAnsi="Segoe UI" w:eastAsia="仿宋_GB2312" w:cs="仿宋_GB2312"/>
          <w:sz w:val="32"/>
          <w:szCs w:val="32"/>
          <w:lang/>
        </w:rPr>
        <w:pict>
          <v:shape id="_x0000_s1027" o:spid="_x0000_s1027" o:spt="201" type="#_x0000_t201" style="position:absolute;left:0pt;margin-left:326.8pt;margin-top:641.75pt;height:119.25pt;width:119.25pt;mso-position-horizontal-relative:page;mso-position-vertical-relative:page;z-index:-251656192;mso-width-relative:page;mso-height-relative:page;" o:ole="t" filled="f" stroked="f" coordsize="21600,21600">
            <v:path/>
            <v:fill on="f" focussize="0,0"/>
            <v:stroke on="f"/>
            <v:imagedata r:id="rId9" o:title=""/>
            <o:lock v:ext="edit"/>
          </v:shape>
          <w:control r:id="rId8" w:name="SignatureCtrl1" w:shapeid="_x0000_s1027"/>
        </w:pict>
      </w:r>
      <w:r>
        <w:rPr>
          <w:rFonts w:hint="eastAsia" w:ascii="仿宋_GB2312" w:hAnsi="Segoe UI" w:eastAsia="仿宋_GB2312" w:cs="仿宋_GB2312"/>
          <w:sz w:val="32"/>
          <w:szCs w:val="32"/>
          <w:shd w:val="clear" w:color="auto" w:fill="FFFFFF"/>
        </w:rPr>
        <w:t>宁波市江北区人民政府办公室</w:t>
      </w:r>
    </w:p>
    <w:p>
      <w:pPr>
        <w:spacing w:line="580" w:lineRule="exact"/>
        <w:ind w:left="5107" w:leftChars="2432"/>
        <w:rPr>
          <w:rFonts w:ascii="仿宋_GB2312" w:hAnsi="Segoe UI" w:eastAsia="仿宋_GB2312"/>
          <w:sz w:val="32"/>
          <w:szCs w:val="32"/>
          <w:shd w:val="clear" w:color="auto" w:fill="FFFFFF"/>
        </w:rPr>
      </w:pPr>
      <w:r>
        <w:rPr>
          <w:rFonts w:ascii="仿宋_GB2312" w:hAnsi="Segoe UI" w:eastAsia="仿宋_GB2312" w:cs="仿宋_GB2312"/>
          <w:sz w:val="32"/>
          <w:szCs w:val="32"/>
          <w:shd w:val="clear" w:color="auto" w:fill="FFFFFF"/>
        </w:rPr>
        <w:t>2020</w:t>
      </w:r>
      <w:r>
        <w:rPr>
          <w:rFonts w:hint="eastAsia" w:ascii="仿宋_GB2312" w:hAnsi="Segoe UI" w:eastAsia="仿宋_GB2312" w:cs="仿宋_GB2312"/>
          <w:sz w:val="32"/>
          <w:szCs w:val="32"/>
          <w:shd w:val="clear" w:color="auto" w:fill="FFFFFF"/>
        </w:rPr>
        <w:t>年</w:t>
      </w:r>
      <w:r>
        <w:rPr>
          <w:rFonts w:ascii="仿宋_GB2312" w:hAnsi="Segoe UI" w:eastAsia="仿宋_GB2312" w:cs="仿宋_GB2312"/>
          <w:sz w:val="32"/>
          <w:szCs w:val="32"/>
          <w:shd w:val="clear" w:color="auto" w:fill="FFFFFF"/>
        </w:rPr>
        <w:t>8</w:t>
      </w:r>
      <w:r>
        <w:rPr>
          <w:rFonts w:hint="eastAsia" w:ascii="仿宋_GB2312" w:hAnsi="Segoe UI" w:eastAsia="仿宋_GB2312" w:cs="仿宋_GB2312"/>
          <w:sz w:val="32"/>
          <w:szCs w:val="32"/>
          <w:shd w:val="clear" w:color="auto" w:fill="FFFFFF"/>
        </w:rPr>
        <w:t>月</w:t>
      </w:r>
      <w:r>
        <w:rPr>
          <w:rFonts w:ascii="仿宋_GB2312" w:hAnsi="Segoe UI" w:eastAsia="仿宋_GB2312" w:cs="仿宋_GB2312"/>
          <w:sz w:val="32"/>
          <w:szCs w:val="32"/>
          <w:shd w:val="clear" w:color="auto" w:fill="FFFFFF"/>
        </w:rPr>
        <w:t>24</w:t>
      </w:r>
      <w:r>
        <w:rPr>
          <w:rFonts w:hint="eastAsia" w:ascii="仿宋_GB2312" w:hAnsi="Segoe UI" w:eastAsia="仿宋_GB2312" w:cs="仿宋_GB2312"/>
          <w:sz w:val="32"/>
          <w:szCs w:val="32"/>
          <w:shd w:val="clear" w:color="auto" w:fill="FFFFFF"/>
        </w:rPr>
        <w:t>日</w:t>
      </w:r>
    </w:p>
    <w:p>
      <w:pPr>
        <w:spacing w:line="580" w:lineRule="exact"/>
        <w:rPr>
          <w:rFonts w:ascii="仿宋_GB2312" w:eastAsia="仿宋_GB2312"/>
          <w:sz w:val="32"/>
          <w:szCs w:val="32"/>
        </w:rPr>
        <w:sectPr>
          <w:footerReference r:id="rId3" w:type="default"/>
          <w:footerReference r:id="rId4" w:type="even"/>
          <w:pgSz w:w="11906" w:h="16838"/>
          <w:pgMar w:top="2098" w:right="1474" w:bottom="1701" w:left="1474" w:header="851" w:footer="992" w:gutter="0"/>
          <w:cols w:space="0" w:num="1"/>
          <w:rtlGutter w:val="0"/>
          <w:docGrid w:type="lines" w:linePitch="312" w:charSpace="0"/>
        </w:sectPr>
      </w:pPr>
    </w:p>
    <w:p>
      <w:pPr>
        <w:jc w:val="center"/>
        <w:rPr>
          <w:rFonts w:ascii="方正小标宋简体" w:hAnsi="Segoe UI" w:eastAsia="方正小标宋简体"/>
          <w:color w:val="111F2C"/>
          <w:sz w:val="44"/>
          <w:szCs w:val="44"/>
          <w:shd w:val="clear" w:color="auto" w:fill="FFFFFF"/>
        </w:rPr>
      </w:pPr>
      <w:r>
        <w:rPr>
          <w:rFonts w:hint="eastAsia" w:ascii="方正小标宋简体" w:hAnsi="Segoe UI" w:eastAsia="方正小标宋简体" w:cs="方正小标宋简体"/>
          <w:color w:val="111F2C"/>
          <w:sz w:val="44"/>
          <w:szCs w:val="44"/>
          <w:shd w:val="clear" w:color="auto" w:fill="FFFFFF"/>
        </w:rPr>
        <w:t>宁波市江北区人民政府</w:t>
      </w:r>
      <w:r>
        <w:rPr>
          <w:rFonts w:ascii="方正小标宋简体" w:hAnsi="Segoe UI" w:eastAsia="方正小标宋简体" w:cs="方正小标宋简体"/>
          <w:color w:val="111F2C"/>
          <w:sz w:val="44"/>
          <w:szCs w:val="44"/>
          <w:shd w:val="clear" w:color="auto" w:fill="FFFFFF"/>
        </w:rPr>
        <w:t>2020</w:t>
      </w:r>
      <w:r>
        <w:rPr>
          <w:rFonts w:hint="eastAsia" w:ascii="方正小标宋简体" w:hAnsi="Segoe UI" w:eastAsia="方正小标宋简体" w:cs="方正小标宋简体"/>
          <w:color w:val="111F2C"/>
          <w:sz w:val="44"/>
          <w:szCs w:val="44"/>
          <w:shd w:val="clear" w:color="auto" w:fill="FFFFFF"/>
        </w:rPr>
        <w:t>年重大行政决策事项目录</w:t>
      </w:r>
    </w:p>
    <w:p/>
    <w:tbl>
      <w:tblPr>
        <w:tblStyle w:val="4"/>
        <w:tblW w:w="14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4374"/>
        <w:gridCol w:w="5304"/>
        <w:gridCol w:w="1482"/>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jc w:val="center"/>
              <w:rPr>
                <w:rFonts w:ascii="黑体" w:hAnsi="黑体" w:eastAsia="黑体"/>
                <w:color w:val="000000"/>
                <w:sz w:val="28"/>
                <w:szCs w:val="28"/>
              </w:rPr>
            </w:pPr>
            <w:r>
              <w:rPr>
                <w:rFonts w:hint="eastAsia" w:ascii="黑体" w:hAnsi="黑体" w:eastAsia="黑体" w:cs="黑体"/>
                <w:color w:val="000000"/>
                <w:sz w:val="28"/>
                <w:szCs w:val="28"/>
              </w:rPr>
              <w:t>序号</w:t>
            </w:r>
          </w:p>
        </w:tc>
        <w:tc>
          <w:tcPr>
            <w:tcW w:w="437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jc w:val="center"/>
              <w:rPr>
                <w:rFonts w:ascii="黑体" w:hAnsi="黑体" w:eastAsia="黑体"/>
                <w:color w:val="000000"/>
                <w:sz w:val="28"/>
                <w:szCs w:val="28"/>
              </w:rPr>
            </w:pPr>
            <w:r>
              <w:rPr>
                <w:rFonts w:hint="eastAsia" w:ascii="黑体" w:hAnsi="黑体" w:eastAsia="黑体" w:cs="黑体"/>
                <w:color w:val="000000"/>
                <w:sz w:val="28"/>
                <w:szCs w:val="28"/>
              </w:rPr>
              <w:t>重大行政决策事项名称</w:t>
            </w:r>
          </w:p>
        </w:tc>
        <w:tc>
          <w:tcPr>
            <w:tcW w:w="530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jc w:val="center"/>
              <w:rPr>
                <w:rFonts w:ascii="黑体" w:hAnsi="黑体" w:eastAsia="黑体"/>
                <w:color w:val="000000"/>
                <w:sz w:val="28"/>
                <w:szCs w:val="28"/>
              </w:rPr>
            </w:pPr>
            <w:r>
              <w:rPr>
                <w:rFonts w:hint="eastAsia" w:ascii="黑体" w:hAnsi="黑体" w:eastAsia="黑体" w:cs="黑体"/>
                <w:color w:val="000000"/>
                <w:sz w:val="28"/>
                <w:szCs w:val="28"/>
              </w:rPr>
              <w:t>法律政策依据</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jc w:val="center"/>
              <w:rPr>
                <w:rFonts w:ascii="黑体" w:hAnsi="黑体" w:eastAsia="黑体"/>
                <w:color w:val="000000"/>
                <w:sz w:val="28"/>
                <w:szCs w:val="28"/>
              </w:rPr>
            </w:pPr>
            <w:r>
              <w:rPr>
                <w:rFonts w:hint="eastAsia" w:ascii="黑体" w:hAnsi="黑体" w:eastAsia="黑体" w:cs="黑体"/>
                <w:color w:val="000000"/>
                <w:sz w:val="28"/>
                <w:szCs w:val="28"/>
              </w:rPr>
              <w:t>承办单位</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jc w:val="center"/>
              <w:rPr>
                <w:rFonts w:ascii="黑体" w:hAnsi="黑体" w:eastAsia="黑体"/>
                <w:color w:val="000000"/>
                <w:sz w:val="28"/>
                <w:szCs w:val="28"/>
              </w:rPr>
            </w:pPr>
            <w:r>
              <w:rPr>
                <w:rFonts w:hint="eastAsia" w:ascii="黑体" w:hAnsi="黑体" w:eastAsia="黑体" w:cs="黑体"/>
                <w:color w:val="000000"/>
                <w:sz w:val="28"/>
                <w:szCs w:val="28"/>
              </w:rPr>
              <w:t>决策时间安排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20" w:hRule="atLeast"/>
          <w:jc w:val="center"/>
        </w:trPr>
        <w:tc>
          <w:tcPr>
            <w:tcW w:w="99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ascii="仿宋_GB2312" w:hAnsi="宋体" w:eastAsia="仿宋_GB2312" w:cs="仿宋_GB2312"/>
                <w:color w:val="000000"/>
                <w:sz w:val="28"/>
                <w:szCs w:val="28"/>
              </w:rPr>
              <w:t>1</w:t>
            </w:r>
          </w:p>
        </w:tc>
        <w:tc>
          <w:tcPr>
            <w:tcW w:w="437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江北区“十四五”规划纲要</w:t>
            </w:r>
          </w:p>
        </w:tc>
        <w:tc>
          <w:tcPr>
            <w:tcW w:w="530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《中华人民共和国地方各级人民代表大会和地方各级人民政府组织法》</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区发改局</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ascii="仿宋_GB2312" w:hAnsi="宋体" w:eastAsia="仿宋_GB2312" w:cs="仿宋_GB2312"/>
                <w:color w:val="000000"/>
                <w:sz w:val="28"/>
                <w:szCs w:val="28"/>
              </w:rPr>
              <w:t>1</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rPr>
              <w:t>-12</w:t>
            </w:r>
            <w:r>
              <w:rPr>
                <w:rFonts w:hint="eastAsia" w:ascii="仿宋_GB2312" w:hAnsi="宋体" w:eastAsia="仿宋_GB2312" w:cs="仿宋_GB2312"/>
                <w:color w:val="000000"/>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20" w:hRule="atLeast"/>
          <w:jc w:val="center"/>
        </w:trPr>
        <w:tc>
          <w:tcPr>
            <w:tcW w:w="99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ascii="仿宋_GB2312" w:hAnsi="宋体" w:eastAsia="仿宋_GB2312" w:cs="仿宋_GB2312"/>
                <w:color w:val="000000"/>
                <w:sz w:val="28"/>
                <w:szCs w:val="28"/>
              </w:rPr>
              <w:t>2</w:t>
            </w:r>
          </w:p>
        </w:tc>
        <w:tc>
          <w:tcPr>
            <w:tcW w:w="437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关于调整区土地征收青苗及地上附着物补偿标准的通知</w:t>
            </w:r>
          </w:p>
        </w:tc>
        <w:tc>
          <w:tcPr>
            <w:tcW w:w="530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《中华人民共和国土地管理法》《浙江省人民政府关于调整全省征地区片综合地价最低保护标准的通知》</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自然资源规划江北分局</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ascii="仿宋_GB2312" w:hAnsi="宋体" w:eastAsia="仿宋_GB2312" w:cs="仿宋_GB2312"/>
                <w:color w:val="000000"/>
                <w:sz w:val="28"/>
                <w:szCs w:val="28"/>
              </w:rPr>
              <w:t>7</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rPr>
              <w:t>-8</w:t>
            </w:r>
            <w:r>
              <w:rPr>
                <w:rFonts w:hint="eastAsia" w:ascii="仿宋_GB2312" w:hAnsi="宋体" w:eastAsia="仿宋_GB2312" w:cs="仿宋_GB2312"/>
                <w:color w:val="000000"/>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20" w:hRule="atLeast"/>
          <w:jc w:val="center"/>
        </w:trPr>
        <w:tc>
          <w:tcPr>
            <w:tcW w:w="99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ascii="仿宋_GB2312" w:hAnsi="宋体" w:eastAsia="仿宋_GB2312" w:cs="仿宋_GB2312"/>
                <w:color w:val="000000"/>
                <w:sz w:val="28"/>
                <w:szCs w:val="28"/>
              </w:rPr>
              <w:t>3</w:t>
            </w:r>
          </w:p>
        </w:tc>
        <w:tc>
          <w:tcPr>
            <w:tcW w:w="437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江北区关于强化科技创新支撑高质量发展的若干政策（修订稿）</w:t>
            </w:r>
          </w:p>
        </w:tc>
        <w:tc>
          <w:tcPr>
            <w:tcW w:w="530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《中华人民共和国</w:t>
            </w:r>
            <w:r>
              <w:rPr>
                <w:rFonts w:hint="eastAsia" w:ascii="仿宋_GB2312" w:hAnsi="宋体" w:eastAsia="仿宋_GB2312" w:cs="仿宋_GB2312"/>
                <w:color w:val="000000"/>
                <w:sz w:val="28"/>
                <w:szCs w:val="28"/>
                <w:lang w:eastAsia="zh-CN"/>
              </w:rPr>
              <w:t>科学技术</w:t>
            </w:r>
            <w:r>
              <w:rPr>
                <w:rFonts w:hint="eastAsia" w:ascii="仿宋_GB2312" w:hAnsi="宋体" w:eastAsia="仿宋_GB2312" w:cs="仿宋_GB2312"/>
                <w:color w:val="000000"/>
                <w:sz w:val="28"/>
                <w:szCs w:val="28"/>
              </w:rPr>
              <w:t>进步法》《浙江省科学技术进步条例》、《宁波市科技创新条例》</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区科学</w:t>
            </w:r>
          </w:p>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技术局</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ascii="仿宋_GB2312" w:hAnsi="宋体" w:eastAsia="仿宋_GB2312" w:cs="仿宋_GB2312"/>
                <w:color w:val="000000"/>
                <w:sz w:val="28"/>
                <w:szCs w:val="28"/>
              </w:rPr>
              <w:t>7</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rPr>
              <w:t>-9</w:t>
            </w:r>
            <w:r>
              <w:rPr>
                <w:rFonts w:hint="eastAsia" w:ascii="仿宋_GB2312" w:hAnsi="宋体" w:eastAsia="仿宋_GB2312" w:cs="仿宋_GB2312"/>
                <w:color w:val="000000"/>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ascii="仿宋_GB2312" w:hAnsi="宋体" w:eastAsia="仿宋_GB2312" w:cs="仿宋_GB2312"/>
                <w:color w:val="000000"/>
                <w:sz w:val="28"/>
                <w:szCs w:val="28"/>
              </w:rPr>
              <w:t>4</w:t>
            </w:r>
          </w:p>
        </w:tc>
        <w:tc>
          <w:tcPr>
            <w:tcW w:w="437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pacing w:val="-6"/>
                <w:sz w:val="28"/>
                <w:szCs w:val="28"/>
              </w:rPr>
              <w:t>《宁波市江北区生态文明建设规划》</w:t>
            </w: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2021-2035</w:t>
            </w:r>
            <w:r>
              <w:rPr>
                <w:rFonts w:hint="eastAsia" w:ascii="仿宋_GB2312" w:hAnsi="宋体" w:eastAsia="仿宋_GB2312" w:cs="仿宋_GB2312"/>
                <w:color w:val="000000"/>
                <w:sz w:val="28"/>
                <w:szCs w:val="28"/>
              </w:rPr>
              <w:t>）</w:t>
            </w:r>
          </w:p>
        </w:tc>
        <w:tc>
          <w:tcPr>
            <w:tcW w:w="530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《关于印发〈国家生态文明建设示范市县建设指标〉〈国家生态文明建设示范市县管理规程〉和〈“绿水青山就是金山银山”实践创新基地建设管理规程（试行）的通知〉》</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生态环境江北分局</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下半年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ascii="仿宋_GB2312" w:hAnsi="宋体" w:eastAsia="仿宋_GB2312" w:cs="仿宋_GB2312"/>
                <w:color w:val="000000"/>
                <w:sz w:val="28"/>
                <w:szCs w:val="28"/>
              </w:rPr>
              <w:t>5</w:t>
            </w:r>
          </w:p>
        </w:tc>
        <w:tc>
          <w:tcPr>
            <w:tcW w:w="437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关于加快推进</w:t>
            </w: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岁以下婴幼儿托育服务发展的实施意见</w:t>
            </w:r>
          </w:p>
        </w:tc>
        <w:tc>
          <w:tcPr>
            <w:tcW w:w="5304"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《国务院办公厅关于促进</w:t>
            </w: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岁以下婴幼儿照护服务发展的指导意见》《浙江省人民政府办公厅关于加快推进</w:t>
            </w: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岁以下婴幼儿照护服务发展的实施意见》《宁波市人民政府办公厅关于加快推进</w:t>
            </w: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岁以下婴幼儿托育服务发展的实施意见》</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区卫生</w:t>
            </w:r>
          </w:p>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健康局</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9780"/>
              </w:tabs>
              <w:spacing w:line="34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下半年</w:t>
            </w:r>
          </w:p>
        </w:tc>
      </w:tr>
    </w:tbl>
    <w:p>
      <w:pPr>
        <w:sectPr>
          <w:pgSz w:w="16838" w:h="11906" w:orient="landscape"/>
          <w:pgMar w:top="1474" w:right="1474" w:bottom="1474" w:left="1474" w:header="851" w:footer="992" w:gutter="0"/>
          <w:cols w:space="425" w:num="1"/>
          <w:docGrid w:type="linesAndChars" w:linePitch="312" w:charSpace="0"/>
        </w:sect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80" w:lineRule="exact"/>
        <w:rPr>
          <w:rFonts w:hint="eastAsia" w:ascii="仿宋_GB2312" w:eastAsia="仿宋_GB2312"/>
          <w:color w:val="000000"/>
          <w:sz w:val="28"/>
          <w:szCs w:val="28"/>
        </w:rPr>
      </w:pPr>
    </w:p>
    <w:p>
      <w:pPr>
        <w:pBdr>
          <w:top w:val="single" w:color="auto" w:sz="6" w:space="0"/>
          <w:bottom w:val="single" w:color="auto" w:sz="6" w:space="1"/>
        </w:pBdr>
        <w:spacing w:line="580" w:lineRule="exact"/>
        <w:ind w:left="1120" w:hanging="1120" w:hangingChars="400"/>
        <w:rPr>
          <w:rFonts w:hint="eastAsia" w:ascii="仿宋_GB2312" w:eastAsia="仿宋_GB2312" w:cs="仿宋_GB2312"/>
          <w:color w:val="000000"/>
          <w:sz w:val="28"/>
          <w:szCs w:val="28"/>
        </w:rPr>
      </w:pPr>
      <w:r>
        <w:rPr>
          <w:rFonts w:hint="eastAsia" w:ascii="仿宋_GB2312" w:eastAsia="仿宋_GB2312" w:cs="仿宋_GB2312"/>
          <w:color w:val="000000"/>
          <w:sz w:val="28"/>
          <w:szCs w:val="28"/>
        </w:rPr>
        <w:t xml:space="preserve">  抄送：区纪委，区委各部门，区人大办、政协办，区人武部，区法院、检察院，各人民团体。 </w:t>
      </w:r>
    </w:p>
    <w:p>
      <w:pPr>
        <w:pBdr>
          <w:bottom w:val="single" w:color="auto" w:sz="6" w:space="1"/>
          <w:between w:val="single" w:color="auto" w:sz="6" w:space="1"/>
        </w:pBdr>
        <w:spacing w:line="580" w:lineRule="exact"/>
      </w:pPr>
      <w:r>
        <w:rPr>
          <w:rFonts w:hint="eastAsia" w:ascii="仿宋_GB2312" w:eastAsia="仿宋_GB2312"/>
          <w:sz w:val="28"/>
          <w:szCs w:val="28"/>
        </w:rPr>
        <w:t xml:space="preserve">  宁波市江北区人民政府办公室               2020年8月24日印发</w:t>
      </w:r>
    </w:p>
    <w:sectPr>
      <w:footerReference r:id="rId5" w:type="default"/>
      <w:pgSz w:w="11906" w:h="16838"/>
      <w:pgMar w:top="2098"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lang/>
      </w:rPr>
      <w:t>1</w:t>
    </w:r>
    <w:r>
      <w:rPr>
        <w:rStyle w:val="6"/>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NjM1ZjdjZDk2M2Q1NjgzZDVmN2E4OTYxZTE3NzIifQ=="/>
  </w:docVars>
  <w:rsids>
    <w:rsidRoot w:val="00197BDB"/>
    <w:rsid w:val="00197BDB"/>
    <w:rsid w:val="00241915"/>
    <w:rsid w:val="003B4E9C"/>
    <w:rsid w:val="00461698"/>
    <w:rsid w:val="00A2733A"/>
    <w:rsid w:val="00C858E9"/>
    <w:rsid w:val="00C91007"/>
    <w:rsid w:val="00EC70AA"/>
    <w:rsid w:val="1C446F9C"/>
    <w:rsid w:val="26A66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uiPriority w:val="0"/>
    <w:tblPr>
      <w:tblCellMar>
        <w:top w:w="0" w:type="dxa"/>
        <w:left w:w="108" w:type="dxa"/>
        <w:bottom w:w="0" w:type="dxa"/>
        <w:right w:w="108" w:type="dxa"/>
      </w:tblCellMar>
    </w:tblPr>
  </w:style>
  <w:style w:type="paragraph" w:styleId="2">
    <w:name w:val="footer"/>
    <w:basedOn w:val="1"/>
    <w:link w:val="7"/>
    <w:semiHidden/>
    <w:uiPriority w:val="0"/>
    <w:pPr>
      <w:tabs>
        <w:tab w:val="center" w:pos="4153"/>
        <w:tab w:val="right" w:pos="8306"/>
      </w:tabs>
      <w:snapToGrid w:val="0"/>
      <w:jc w:val="left"/>
    </w:pPr>
    <w:rPr>
      <w:rFonts w:ascii="Calibri" w:hAnsi="Calibri" w:cs="Calibri"/>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ascii="Times New Roman" w:hAnsi="Times New Roman" w:eastAsia="宋体" w:cs="Times New Roman"/>
    </w:rPr>
  </w:style>
  <w:style w:type="character" w:customStyle="1" w:styleId="7">
    <w:name w:val="页脚 Char"/>
    <w:basedOn w:val="5"/>
    <w:link w:val="2"/>
    <w:semiHidden/>
    <w:uiPriority w:val="0"/>
    <w:rPr>
      <w:rFonts w:ascii="Calibri" w:hAnsi="Calibri" w:eastAsia="宋体" w:cs="Calibri"/>
      <w:sz w:val="18"/>
      <w:szCs w:val="18"/>
    </w:rPr>
  </w:style>
  <w:style w:type="paragraph" w:customStyle="1" w:styleId="8">
    <w:name w:val="1"/>
    <w:basedOn w:val="1"/>
    <w:uiPriority w:val="0"/>
    <w:rPr>
      <w:rFonts w:eastAsia="Times New Roman"/>
      <w:kern w:val="0"/>
      <w:sz w:val="20"/>
      <w:szCs w:val="20"/>
      <w:lang/>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2023-05-16T00:55:00Z</dcterms:created>
  <dc:creator>袁梦雨</dc:creator>
  <cp:lastModifiedBy>袁梦雨</cp:lastModifiedBy>
  <dcterms:modified xsi:type="dcterms:W3CDTF">2023-05-16T00:56:14Z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B97D8D43452E4B2D99BBBB62FF78DF48_11</vt:lpwstr>
  </property>
</Properties>
</file>