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624" w:beforeLines="200" w:after="624" w:afterLines="200"/>
        <w:jc w:val="center"/>
        <w:rPr>
          <w:rFonts w:ascii="Times New Roman" w:hAnsi="Times New Roman" w:eastAsia="黑体" w:cs="Times New Roman"/>
          <w:sz w:val="44"/>
          <w:szCs w:val="48"/>
          <w:lang w:val="zh-CN"/>
        </w:rPr>
      </w:pPr>
    </w:p>
    <w:p>
      <w:pPr>
        <w:spacing w:before="624" w:beforeLines="200" w:after="624" w:afterLines="200"/>
        <w:jc w:val="center"/>
        <w:rPr>
          <w:rFonts w:ascii="Times New Roman" w:hAnsi="Times New Roman" w:eastAsia="黑体" w:cs="Times New Roman"/>
          <w:sz w:val="44"/>
          <w:szCs w:val="48"/>
          <w:lang w:val="zh-CN"/>
        </w:rPr>
      </w:pPr>
      <w:r>
        <w:rPr>
          <w:rFonts w:hint="eastAsia" w:ascii="Times New Roman" w:hAnsi="Times New Roman" w:eastAsia="黑体" w:cs="Times New Roman"/>
          <w:sz w:val="44"/>
          <w:szCs w:val="48"/>
          <w:lang w:val="zh-CN"/>
        </w:rPr>
        <w:t>江北区水安全保障“十四五”规划</w:t>
      </w:r>
    </w:p>
    <w:p>
      <w:pPr>
        <w:pStyle w:val="34"/>
        <w:ind w:firstLine="480"/>
      </w:pPr>
    </w:p>
    <w:p>
      <w:pPr>
        <w:pStyle w:val="34"/>
        <w:ind w:firstLine="480"/>
      </w:pPr>
    </w:p>
    <w:p>
      <w:pPr>
        <w:spacing w:before="624" w:beforeLines="200" w:after="624" w:afterLines="200"/>
        <w:jc w:val="center"/>
        <w:rPr>
          <w:rFonts w:ascii="Times New Roman" w:hAnsi="Times New Roman" w:eastAsia="黑体" w:cs="Times New Roman"/>
          <w:sz w:val="44"/>
          <w:szCs w:val="48"/>
          <w:lang w:val="zh-CN"/>
        </w:rPr>
      </w:pPr>
    </w:p>
    <w:p>
      <w:pPr>
        <w:spacing w:before="624" w:beforeLines="200" w:after="624" w:afterLines="200"/>
        <w:jc w:val="center"/>
        <w:rPr>
          <w:rFonts w:ascii="Times New Roman" w:hAnsi="Times New Roman" w:eastAsia="黑体" w:cs="Times New Roman"/>
          <w:sz w:val="44"/>
          <w:szCs w:val="48"/>
          <w:lang w:val="zh-CN"/>
        </w:rPr>
      </w:pPr>
    </w:p>
    <w:p>
      <w:pPr>
        <w:spacing w:before="624" w:beforeLines="200" w:after="624" w:afterLines="200"/>
        <w:jc w:val="center"/>
        <w:rPr>
          <w:rFonts w:ascii="Times New Roman" w:hAnsi="Times New Roman" w:eastAsia="黑体" w:cs="Times New Roman"/>
          <w:sz w:val="44"/>
          <w:szCs w:val="48"/>
          <w:lang w:val="zh-CN"/>
        </w:rPr>
      </w:pPr>
    </w:p>
    <w:p>
      <w:pPr>
        <w:spacing w:before="624" w:beforeLines="200" w:after="624" w:afterLines="200"/>
        <w:jc w:val="center"/>
        <w:rPr>
          <w:rFonts w:ascii="Times New Roman" w:hAnsi="Times New Roman" w:eastAsia="黑体" w:cs="Times New Roman"/>
          <w:sz w:val="44"/>
          <w:szCs w:val="48"/>
          <w:lang w:val="zh-CN"/>
        </w:rPr>
      </w:pPr>
    </w:p>
    <w:p>
      <w:pPr>
        <w:spacing w:line="360" w:lineRule="auto"/>
        <w:jc w:val="center"/>
        <w:rPr>
          <w:rFonts w:ascii="Times New Roman" w:hAnsi="Times New Roman" w:eastAsia="楷体_GB2312" w:cs="Times New Roman"/>
          <w:sz w:val="30"/>
          <w:szCs w:val="30"/>
        </w:rPr>
      </w:pPr>
    </w:p>
    <w:p>
      <w:pPr>
        <w:spacing w:line="360" w:lineRule="auto"/>
        <w:jc w:val="center"/>
        <w:rPr>
          <w:rFonts w:ascii="Times New Roman" w:hAnsi="Times New Roman" w:eastAsia="楷体_GB2312" w:cs="Times New Roman"/>
          <w:sz w:val="30"/>
          <w:szCs w:val="30"/>
        </w:rPr>
      </w:pPr>
    </w:p>
    <w:p>
      <w:pPr>
        <w:spacing w:line="360" w:lineRule="auto"/>
        <w:jc w:val="center"/>
        <w:rPr>
          <w:rFonts w:ascii="Times New Roman" w:hAnsi="Times New Roman" w:eastAsia="楷体_GB2312" w:cs="Times New Roman"/>
          <w:sz w:val="30"/>
          <w:szCs w:val="30"/>
        </w:rPr>
        <w:sectPr>
          <w:headerReference r:id="rId3" w:type="default"/>
          <w:footerReference r:id="rId5" w:type="default"/>
          <w:headerReference r:id="rId4" w:type="even"/>
          <w:pgSz w:w="11906" w:h="16838"/>
          <w:pgMar w:top="1440" w:right="1800" w:bottom="1440" w:left="1800" w:header="851" w:footer="992" w:gutter="0"/>
          <w:cols w:space="425" w:num="1"/>
          <w:docGrid w:type="lines" w:linePitch="312" w:charSpace="0"/>
        </w:sectPr>
      </w:pPr>
    </w:p>
    <w:p>
      <w:pPr>
        <w:spacing w:line="360" w:lineRule="auto"/>
        <w:jc w:val="center"/>
        <w:rPr>
          <w:rFonts w:ascii="Times New Roman" w:hAnsi="Times New Roman" w:eastAsia="楷体_GB2312" w:cs="Times New Roman"/>
          <w:sz w:val="30"/>
          <w:szCs w:val="30"/>
        </w:rPr>
      </w:pPr>
    </w:p>
    <w:p>
      <w:pPr>
        <w:spacing w:line="360" w:lineRule="auto"/>
        <w:rPr>
          <w:rFonts w:ascii="Times New Roman" w:hAnsi="Times New Roman" w:eastAsia="楷体_GB2312" w:cs="Times New Roman"/>
          <w:sz w:val="30"/>
          <w:szCs w:val="30"/>
        </w:rPr>
      </w:pPr>
    </w:p>
    <w:p>
      <w:pPr>
        <w:spacing w:before="624" w:beforeLines="200" w:after="624" w:afterLines="200"/>
        <w:jc w:val="center"/>
        <w:rPr>
          <w:rFonts w:ascii="Times New Roman" w:hAnsi="Times New Roman" w:eastAsia="黑体" w:cs="Times New Roman"/>
          <w:sz w:val="44"/>
          <w:szCs w:val="48"/>
        </w:rPr>
        <w:sectPr>
          <w:headerReference r:id="rId6" w:type="default"/>
          <w:pgSz w:w="11906" w:h="16838"/>
          <w:pgMar w:top="1440" w:right="1800" w:bottom="1440" w:left="1800" w:header="851" w:footer="992" w:gutter="0"/>
          <w:cols w:space="425" w:num="1"/>
          <w:docGrid w:type="lines" w:linePitch="312" w:charSpace="0"/>
        </w:sectPr>
      </w:pPr>
    </w:p>
    <w:p>
      <w:pPr>
        <w:keepNext/>
        <w:keepLines/>
        <w:spacing w:before="312" w:beforeLines="100" w:after="312" w:afterLines="100" w:line="540" w:lineRule="exact"/>
        <w:jc w:val="center"/>
        <w:outlineLvl w:val="0"/>
        <w:rPr>
          <w:rFonts w:ascii="Times New Roman" w:hAnsi="Times New Roman" w:eastAsia="黑体" w:cs="Times New Roman"/>
          <w:bCs/>
          <w:kern w:val="44"/>
          <w:sz w:val="36"/>
          <w:szCs w:val="36"/>
        </w:rPr>
      </w:pPr>
      <w:bookmarkStart w:id="0" w:name="_Toc12677"/>
      <w:r>
        <w:rPr>
          <w:rFonts w:hint="eastAsia" w:ascii="Times New Roman" w:hAnsi="Times New Roman" w:eastAsia="黑体" w:cs="Times New Roman"/>
          <w:bCs/>
          <w:kern w:val="44"/>
          <w:sz w:val="36"/>
          <w:szCs w:val="36"/>
        </w:rPr>
        <w:t>第一章  “十四五”水利发展背景</w:t>
      </w:r>
      <w:bookmarkEnd w:id="0"/>
    </w:p>
    <w:p>
      <w:pPr>
        <w:pStyle w:val="3"/>
        <w:spacing w:before="312" w:beforeLines="100" w:after="312" w:afterLines="100" w:line="580" w:lineRule="exact"/>
        <w:jc w:val="center"/>
        <w:rPr>
          <w:rFonts w:ascii="Times New Roman" w:hAnsi="Times New Roman" w:cstheme="minorBidi"/>
          <w:b w:val="0"/>
          <w:bCs w:val="0"/>
          <w:szCs w:val="24"/>
        </w:rPr>
      </w:pPr>
      <w:bookmarkStart w:id="1" w:name="_Toc3472"/>
      <w:r>
        <w:rPr>
          <w:rFonts w:hint="eastAsia" w:ascii="Times New Roman" w:hAnsi="Times New Roman" w:cstheme="minorBidi"/>
          <w:b w:val="0"/>
          <w:bCs w:val="0"/>
          <w:szCs w:val="24"/>
        </w:rPr>
        <w:t>第一节 “十三五”水利工作完成情况</w:t>
      </w:r>
      <w:bookmarkEnd w:id="1"/>
    </w:p>
    <w:p>
      <w:pPr>
        <w:spacing w:before="156" w:beforeLines="50" w:after="156" w:afterLines="50" w:line="580" w:lineRule="exact"/>
        <w:outlineLvl w:val="2"/>
        <w:rPr>
          <w:rFonts w:ascii="Times New Roman" w:hAnsi="Times New Roman" w:eastAsia="仿宋_GB2312" w:cs="仿宋_GB2312"/>
          <w:b/>
          <w:sz w:val="32"/>
          <w:szCs w:val="32"/>
        </w:rPr>
      </w:pPr>
      <w:r>
        <w:rPr>
          <w:rFonts w:hint="eastAsia" w:ascii="Times New Roman" w:hAnsi="Times New Roman" w:eastAsia="仿宋_GB2312" w:cs="仿宋_GB2312"/>
          <w:b/>
          <w:sz w:val="32"/>
          <w:szCs w:val="32"/>
        </w:rPr>
        <w:t>一、投资完成情况</w:t>
      </w:r>
    </w:p>
    <w:p>
      <w:pPr>
        <w:spacing w:line="58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十三五”时期，是我市全面深化改革、持续推进经济转型升级、深入建设“四好示范区”和新型城市化建设的关键时期，也是全面提升水利基础保障能力，基本实现水利现代化的重要时期。“十三五”期间，江北区以“继续完善城市化进程中水利体系建设，大幅度提高水利保障能力和管理水平”为总目标，注重防洪排涝、水资源保障、水生态文明建设、农田水利、智慧水利、水利管理与服务等方面建设，水利事业全面发展，江北区水利目标指标实现情况良好，为江北经济社会可持续发展提供了坚实的水利支持和保障。</w:t>
      </w:r>
    </w:p>
    <w:p>
      <w:pPr>
        <w:spacing w:before="156" w:beforeLines="50" w:after="156" w:afterLines="50" w:line="580" w:lineRule="exact"/>
        <w:outlineLvl w:val="2"/>
        <w:rPr>
          <w:rFonts w:ascii="Times New Roman" w:hAnsi="Times New Roman" w:eastAsia="仿宋_GB2312" w:cs="仿宋_GB2312"/>
          <w:b/>
          <w:sz w:val="32"/>
          <w:szCs w:val="32"/>
        </w:rPr>
      </w:pPr>
      <w:r>
        <w:rPr>
          <w:rFonts w:hint="eastAsia" w:ascii="Times New Roman" w:hAnsi="Times New Roman" w:eastAsia="仿宋_GB2312" w:cs="仿宋_GB2312"/>
          <w:b/>
          <w:sz w:val="32"/>
          <w:szCs w:val="32"/>
        </w:rPr>
        <w:t>二、重点项目完成情况</w:t>
      </w:r>
    </w:p>
    <w:p>
      <w:pPr>
        <w:spacing w:before="156" w:beforeLines="50" w:line="580" w:lineRule="exact"/>
        <w:ind w:firstLine="640" w:firstLineChars="200"/>
        <w:rPr>
          <w:rFonts w:ascii="Times New Roman" w:hAnsi="Times New Roman" w:eastAsia="楷体_GB2312" w:cs="楷体_GB2312"/>
          <w:sz w:val="32"/>
          <w:szCs w:val="32"/>
          <w:lang w:val="en-AU"/>
        </w:rPr>
      </w:pPr>
      <w:r>
        <w:rPr>
          <w:rFonts w:hint="eastAsia" w:ascii="Times New Roman" w:hAnsi="Times New Roman" w:eastAsia="楷体_GB2312" w:cs="楷体_GB2312"/>
          <w:sz w:val="32"/>
          <w:szCs w:val="32"/>
          <w:lang w:val="en-AU"/>
        </w:rPr>
        <w:t>（一）水资源保障体系越发完善</w:t>
      </w:r>
    </w:p>
    <w:p>
      <w:pPr>
        <w:spacing w:line="58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十三五”期间，江北区积极推进农民饮用水达标提标工作，江北区慈城镇村庄生活用水已全部纳入宁波中心城区大管网供水体系，在全市范围内率先实现“城乡供水一体化”，农村饮用水安全覆盖率100%。同时节水工作稳步推进，用水效率领跑全市、全省。科学布局节水工程，促进水资源均衡。积极探索非常规水源利用，大力推广雨水利用设施建设，完成江北凯德孙家地块大型雨水利用示范工程等项目，提升水资源利用效率。</w:t>
      </w:r>
    </w:p>
    <w:p>
      <w:pPr>
        <w:spacing w:before="156" w:beforeLines="50" w:line="580" w:lineRule="exact"/>
        <w:ind w:firstLine="640" w:firstLineChars="200"/>
        <w:rPr>
          <w:rFonts w:ascii="Times New Roman" w:hAnsi="Times New Roman" w:eastAsia="楷体_GB2312" w:cs="楷体_GB2312"/>
          <w:sz w:val="32"/>
          <w:szCs w:val="32"/>
          <w:lang w:val="en-AU"/>
        </w:rPr>
      </w:pPr>
      <w:r>
        <w:rPr>
          <w:rFonts w:hint="eastAsia" w:ascii="Times New Roman" w:hAnsi="Times New Roman" w:eastAsia="楷体_GB2312" w:cs="楷体_GB2312"/>
          <w:sz w:val="32"/>
          <w:szCs w:val="32"/>
          <w:lang w:val="en-AU"/>
        </w:rPr>
        <w:t>（二）防洪排涝工程体系基本建立</w:t>
      </w:r>
    </w:p>
    <w:p>
      <w:pPr>
        <w:spacing w:line="58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十三五”期间，江北区围绕完善“上蓄、外挡、中疏、下排”、“洪涝分治”的防洪治涝工程体系，大力推进以姚江、慈江堤防、沿线闸泵、平原骨干排涝河道为重点的防洪排涝工程建设。除湾头段北岸局部未实施外，姚江堤防工程江北区段已全面完成，防洪能力基本达到20~100年一遇，基本实现区域防洪封闭，平原骨干排水系统建设布局进一步完善，区域的防洪排涝能力明显提高，目前慈江以南平原除已建城区防洪排涝能力达20年一遇左右，其他地区现状防洪排涝能力为5~10年一遇，区域性排涝问题基本解决。同时作为宁波市唯一的海绵城市试点区域，海绵城市建设持续推进，积极开展多种类型海绵体建设，滞蓄空间类型丰富，传统水利与城市发展初步融合，助力区域防洪减灾安全。</w:t>
      </w:r>
    </w:p>
    <w:p>
      <w:pPr>
        <w:spacing w:before="156" w:beforeLines="50" w:line="580" w:lineRule="exact"/>
        <w:ind w:firstLine="640" w:firstLineChars="200"/>
        <w:rPr>
          <w:rFonts w:ascii="Times New Roman" w:hAnsi="Times New Roman" w:eastAsia="楷体_GB2312" w:cs="楷体_GB2312"/>
          <w:sz w:val="32"/>
          <w:szCs w:val="32"/>
          <w:lang w:val="en-AU"/>
        </w:rPr>
      </w:pPr>
      <w:r>
        <w:rPr>
          <w:rFonts w:hint="eastAsia" w:ascii="Times New Roman" w:hAnsi="Times New Roman" w:eastAsia="楷体_GB2312" w:cs="楷体_GB2312"/>
          <w:sz w:val="32"/>
          <w:szCs w:val="32"/>
          <w:lang w:val="en-AU"/>
        </w:rPr>
        <w:t>（三）水生态环境体系建设加快推进</w:t>
      </w:r>
    </w:p>
    <w:p>
      <w:pPr>
        <w:spacing w:line="58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“十三五”以来，江北区按照宁波市的整体要求，完成了水生态文明城市建设，目前已实施姚江新区启动区、湾头地块等共30.95km</w:t>
      </w:r>
      <w:r>
        <w:rPr>
          <w:rFonts w:hint="eastAsia" w:ascii="Times New Roman" w:hAnsi="Times New Roman" w:eastAsia="仿宋_GB2312" w:cs="仿宋_GB2312"/>
          <w:sz w:val="32"/>
          <w:szCs w:val="32"/>
          <w:vertAlign w:val="superscript"/>
        </w:rPr>
        <w:t>2</w:t>
      </w:r>
      <w:r>
        <w:rPr>
          <w:rFonts w:hint="eastAsia" w:ascii="Times New Roman" w:hAnsi="Times New Roman" w:eastAsia="仿宋_GB2312" w:cs="仿宋_GB2312"/>
          <w:sz w:val="32"/>
          <w:szCs w:val="32"/>
        </w:rPr>
        <w:t>的区域海绵建设，完成茅家河、官山河等省级美丽河湖创建工作，建成水美乡村7处。并围绕“生态治水”的基本理念，积极谋划水系沟通工程，实现了区域内卡脖“断头河”的打通，启动实施清水环通工程一期，生态调水2780万m</w:t>
      </w:r>
      <w:r>
        <w:rPr>
          <w:rFonts w:hint="eastAsia" w:ascii="Times New Roman" w:hAnsi="Times New Roman" w:eastAsia="仿宋_GB2312" w:cs="仿宋_GB2312"/>
          <w:sz w:val="32"/>
          <w:szCs w:val="32"/>
          <w:vertAlign w:val="superscript"/>
        </w:rPr>
        <w:t>3</w:t>
      </w:r>
      <w:r>
        <w:rPr>
          <w:rFonts w:hint="eastAsia" w:ascii="Times New Roman" w:hAnsi="Times New Roman" w:eastAsia="仿宋_GB2312" w:cs="仿宋_GB2312"/>
          <w:sz w:val="32"/>
          <w:szCs w:val="32"/>
        </w:rPr>
        <w:t>，生态调水量进一步提升，河网联网联调工程体系愈加完善。同时通过河床底泥疏浚清淤、生态堤防建设等手段，立体治理河湖生态，现状河湖生态护岸比例为39.8%，区域水生态环境明显改善，地表水水功能区水质全达标。</w:t>
      </w:r>
    </w:p>
    <w:p>
      <w:pPr>
        <w:spacing w:before="156" w:beforeLines="50" w:line="580" w:lineRule="exact"/>
        <w:ind w:firstLine="640" w:firstLineChars="200"/>
        <w:rPr>
          <w:rFonts w:ascii="Times New Roman" w:hAnsi="Times New Roman" w:eastAsia="楷体_GB2312" w:cs="楷体_GB2312"/>
          <w:sz w:val="32"/>
          <w:szCs w:val="32"/>
          <w:lang w:val="en-AU"/>
        </w:rPr>
      </w:pPr>
      <w:r>
        <w:rPr>
          <w:rFonts w:hint="eastAsia" w:ascii="Times New Roman" w:hAnsi="Times New Roman" w:eastAsia="楷体_GB2312" w:cs="楷体_GB2312"/>
          <w:sz w:val="32"/>
          <w:szCs w:val="32"/>
          <w:lang w:val="en-AU"/>
        </w:rPr>
        <w:t>（四）智慧水利管理能力进一步提高</w:t>
      </w:r>
    </w:p>
    <w:p>
      <w:pPr>
        <w:spacing w:line="58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江北区已经基本形成了集“前端感知、水利数据资源、业务应用”三位一体的发展模式。开展以水旱灾害防御、水资源监测预警与水生态管理、河湖监管、工程集控管理、水利工程标准化管理、水行政事务管理等内容为重点的水利信息化建设，推动全区水利管理和服务实现了跨越式的发展，打造了江北区“防汛防台指挥系统、江北区工程集控管理系统、江北区水资源监测分析系统”等样板工程。</w:t>
      </w:r>
    </w:p>
    <w:p>
      <w:pPr>
        <w:spacing w:line="58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同时，江北区积极推进水利管理改革创新，水利依法行政及社会管理和服务能力得到有效提高。全面落实水利工程标准化管理，制定《宁波市江北区水利工程标准化管理实施方案（2016~2020年）》等，严格水功能区监督管理，严格落实取水许可和水资源论证制度；积极组织制定《江北区农业水价综合改革实施方案》，推进农业水价改革的实施，积极落实“三条红线”、“四项制度”；完成毛利水库、英雄水库及姚江干堤试验段标准化创建。基层水利服务体系的建设完善，“河长制”管理模式有序推行，全区水利工程建设管理能力得到明显提高。</w:t>
      </w:r>
    </w:p>
    <w:p>
      <w:pPr>
        <w:spacing w:before="156" w:beforeLines="50" w:after="156" w:afterLines="50" w:line="580" w:lineRule="exact"/>
        <w:outlineLvl w:val="2"/>
        <w:rPr>
          <w:rFonts w:ascii="Times New Roman" w:hAnsi="Times New Roman" w:eastAsia="宋体" w:cs="Times New Roman"/>
          <w:sz w:val="24"/>
          <w:szCs w:val="24"/>
        </w:rPr>
      </w:pPr>
      <w:r>
        <w:rPr>
          <w:rFonts w:hint="eastAsia" w:ascii="Times New Roman" w:hAnsi="Times New Roman" w:eastAsia="仿宋_GB2312" w:cs="仿宋_GB2312"/>
          <w:b/>
          <w:sz w:val="32"/>
          <w:szCs w:val="32"/>
        </w:rPr>
        <w:t>三、规划目标完成情况</w:t>
      </w:r>
    </w:p>
    <w:p>
      <w:pPr>
        <w:spacing w:line="58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对照“十三五”规划主要建设任务，各项建设任务完成情况较好，规划实施重点水利工程10项，除东大河整治工程外已基本完成，项目在建及完工率90%，总体进展良好。“十三五”重点工程完成情况见表1~1。</w:t>
      </w:r>
    </w:p>
    <w:p>
      <w:pPr>
        <w:pStyle w:val="44"/>
        <w:rPr>
          <w:color w:val="auto"/>
          <w:sz w:val="24"/>
        </w:rPr>
      </w:pPr>
      <w:r>
        <w:rPr>
          <w:rFonts w:hint="eastAsia"/>
          <w:color w:val="auto"/>
          <w:sz w:val="24"/>
        </w:rPr>
        <w:t>表1-1  “十三五”重点工程完成情况见表</w:t>
      </w:r>
    </w:p>
    <w:tbl>
      <w:tblPr>
        <w:tblStyle w:val="19"/>
        <w:tblW w:w="5007" w:type="pct"/>
        <w:tblInd w:w="0" w:type="dxa"/>
        <w:tblLayout w:type="autofit"/>
        <w:tblCellMar>
          <w:top w:w="0" w:type="dxa"/>
          <w:left w:w="0" w:type="dxa"/>
          <w:bottom w:w="0" w:type="dxa"/>
          <w:right w:w="0" w:type="dxa"/>
        </w:tblCellMar>
      </w:tblPr>
      <w:tblGrid>
        <w:gridCol w:w="482"/>
        <w:gridCol w:w="2329"/>
        <w:gridCol w:w="1035"/>
        <w:gridCol w:w="3259"/>
        <w:gridCol w:w="1231"/>
      </w:tblGrid>
      <w:tr>
        <w:tblPrEx>
          <w:tblCellMar>
            <w:top w:w="0" w:type="dxa"/>
            <w:left w:w="0" w:type="dxa"/>
            <w:bottom w:w="0" w:type="dxa"/>
            <w:right w:w="0" w:type="dxa"/>
          </w:tblCellMar>
        </w:tblPrEx>
        <w:trPr>
          <w:trHeight w:val="397" w:hRule="atLeast"/>
          <w:tblHeader/>
        </w:trPr>
        <w:tc>
          <w:tcPr>
            <w:tcW w:w="289" w:type="pct"/>
            <w:tcBorders>
              <w:top w:val="single" w:color="000000" w:sz="2" w:space="0"/>
              <w:left w:val="single" w:color="000000" w:sz="2" w:space="0"/>
              <w:bottom w:val="single" w:color="000000" w:sz="2" w:space="0"/>
              <w:right w:val="single" w:color="000000" w:sz="2" w:space="0"/>
            </w:tcBorders>
            <w:shd w:val="clear" w:color="auto" w:fill="auto"/>
            <w:tcMar>
              <w:top w:w="15" w:type="dxa"/>
              <w:left w:w="15" w:type="dxa"/>
              <w:bottom w:w="0" w:type="dxa"/>
              <w:right w:w="15" w:type="dxa"/>
            </w:tcMar>
            <w:vAlign w:val="center"/>
          </w:tcPr>
          <w:p>
            <w:pPr>
              <w:widowControl/>
              <w:jc w:val="center"/>
              <w:textAlignment w:val="center"/>
              <w:rPr>
                <w:rFonts w:ascii="Times New Roman" w:hAnsi="Times New Roman" w:eastAsia="宋体" w:cs="Arial"/>
                <w:kern w:val="0"/>
                <w:sz w:val="18"/>
                <w:szCs w:val="18"/>
              </w:rPr>
            </w:pPr>
            <w:r>
              <w:rPr>
                <w:rFonts w:hint="eastAsia" w:ascii="Times New Roman" w:hAnsi="Times New Roman"/>
                <w:bCs/>
                <w:kern w:val="24"/>
                <w:sz w:val="18"/>
                <w:szCs w:val="18"/>
              </w:rPr>
              <w:t>序号</w:t>
            </w:r>
          </w:p>
        </w:tc>
        <w:tc>
          <w:tcPr>
            <w:tcW w:w="1397" w:type="pct"/>
            <w:tcBorders>
              <w:top w:val="single" w:color="000000" w:sz="2" w:space="0"/>
              <w:left w:val="single" w:color="000000" w:sz="2" w:space="0"/>
              <w:bottom w:val="single" w:color="000000" w:sz="2" w:space="0"/>
              <w:right w:val="single" w:color="000000" w:sz="2" w:space="0"/>
            </w:tcBorders>
            <w:shd w:val="clear" w:color="auto" w:fill="auto"/>
            <w:tcMar>
              <w:top w:w="15" w:type="dxa"/>
              <w:left w:w="15" w:type="dxa"/>
              <w:bottom w:w="0" w:type="dxa"/>
              <w:right w:w="15" w:type="dxa"/>
            </w:tcMar>
            <w:vAlign w:val="center"/>
          </w:tcPr>
          <w:p>
            <w:pPr>
              <w:widowControl/>
              <w:jc w:val="center"/>
              <w:textAlignment w:val="center"/>
              <w:rPr>
                <w:rFonts w:ascii="Times New Roman" w:hAnsi="Times New Roman" w:eastAsia="宋体" w:cs="Arial"/>
                <w:kern w:val="0"/>
                <w:sz w:val="18"/>
                <w:szCs w:val="18"/>
              </w:rPr>
            </w:pPr>
            <w:r>
              <w:rPr>
                <w:rFonts w:hint="eastAsia" w:ascii="Times New Roman" w:hAnsi="Times New Roman"/>
                <w:bCs/>
                <w:kern w:val="24"/>
                <w:sz w:val="18"/>
                <w:szCs w:val="18"/>
              </w:rPr>
              <w:t>项目名称</w:t>
            </w:r>
          </w:p>
        </w:tc>
        <w:tc>
          <w:tcPr>
            <w:tcW w:w="621" w:type="pct"/>
            <w:tcBorders>
              <w:top w:val="single" w:color="000000" w:sz="2" w:space="0"/>
              <w:left w:val="single" w:color="000000" w:sz="2" w:space="0"/>
              <w:bottom w:val="single" w:color="000000" w:sz="2" w:space="0"/>
              <w:right w:val="single" w:color="000000" w:sz="2" w:space="0"/>
            </w:tcBorders>
            <w:shd w:val="clear" w:color="auto" w:fill="auto"/>
            <w:tcMar>
              <w:top w:w="15" w:type="dxa"/>
              <w:left w:w="15" w:type="dxa"/>
              <w:bottom w:w="0" w:type="dxa"/>
              <w:right w:w="15" w:type="dxa"/>
            </w:tcMar>
            <w:vAlign w:val="center"/>
          </w:tcPr>
          <w:p>
            <w:pPr>
              <w:widowControl/>
              <w:jc w:val="center"/>
              <w:textAlignment w:val="center"/>
              <w:rPr>
                <w:rFonts w:ascii="Times New Roman" w:hAnsi="Times New Roman" w:eastAsia="宋体" w:cs="Arial"/>
                <w:kern w:val="0"/>
                <w:sz w:val="18"/>
                <w:szCs w:val="18"/>
              </w:rPr>
            </w:pPr>
            <w:r>
              <w:rPr>
                <w:rFonts w:hint="eastAsia" w:ascii="Times New Roman" w:hAnsi="Times New Roman"/>
                <w:bCs/>
                <w:kern w:val="24"/>
                <w:sz w:val="18"/>
                <w:szCs w:val="18"/>
              </w:rPr>
              <w:t>建设起止年限</w:t>
            </w:r>
          </w:p>
        </w:tc>
        <w:tc>
          <w:tcPr>
            <w:tcW w:w="1955" w:type="pct"/>
            <w:tcBorders>
              <w:top w:val="single" w:color="000000" w:sz="2" w:space="0"/>
              <w:left w:val="single" w:color="000000" w:sz="2" w:space="0"/>
              <w:bottom w:val="single" w:color="000000" w:sz="2" w:space="0"/>
              <w:right w:val="single" w:color="000000" w:sz="2" w:space="0"/>
            </w:tcBorders>
            <w:shd w:val="clear" w:color="auto" w:fill="auto"/>
            <w:tcMar>
              <w:top w:w="15" w:type="dxa"/>
              <w:left w:w="15" w:type="dxa"/>
              <w:bottom w:w="0" w:type="dxa"/>
              <w:right w:w="15" w:type="dxa"/>
            </w:tcMar>
            <w:vAlign w:val="center"/>
          </w:tcPr>
          <w:p>
            <w:pPr>
              <w:widowControl/>
              <w:jc w:val="center"/>
              <w:textAlignment w:val="center"/>
              <w:rPr>
                <w:rFonts w:ascii="Times New Roman" w:hAnsi="Times New Roman" w:eastAsia="宋体" w:cs="Arial"/>
                <w:kern w:val="0"/>
                <w:sz w:val="18"/>
                <w:szCs w:val="18"/>
              </w:rPr>
            </w:pPr>
            <w:r>
              <w:rPr>
                <w:rFonts w:hint="eastAsia" w:ascii="Times New Roman" w:hAnsi="Times New Roman"/>
                <w:bCs/>
                <w:kern w:val="24"/>
                <w:sz w:val="18"/>
                <w:szCs w:val="18"/>
              </w:rPr>
              <w:t>工程规模和建设内容</w:t>
            </w:r>
          </w:p>
        </w:tc>
        <w:tc>
          <w:tcPr>
            <w:tcW w:w="739" w:type="pct"/>
            <w:tcBorders>
              <w:top w:val="single" w:color="000000" w:sz="2" w:space="0"/>
              <w:left w:val="single" w:color="000000" w:sz="2" w:space="0"/>
              <w:bottom w:val="single" w:color="000000" w:sz="2" w:space="0"/>
              <w:right w:val="single" w:color="000000" w:sz="2" w:space="0"/>
            </w:tcBorders>
            <w:shd w:val="clear" w:color="auto" w:fill="auto"/>
            <w:vAlign w:val="center"/>
          </w:tcPr>
          <w:p>
            <w:pPr>
              <w:widowControl/>
              <w:jc w:val="center"/>
              <w:textAlignment w:val="center"/>
              <w:rPr>
                <w:rFonts w:ascii="Times New Roman" w:hAnsi="Times New Roman"/>
                <w:bCs/>
                <w:kern w:val="24"/>
                <w:sz w:val="18"/>
                <w:szCs w:val="18"/>
              </w:rPr>
            </w:pPr>
            <w:r>
              <w:rPr>
                <w:rFonts w:hint="eastAsia" w:ascii="Times New Roman" w:hAnsi="Times New Roman" w:eastAsia="黑体" w:cs="宋体"/>
                <w:b/>
                <w:bCs/>
                <w:kern w:val="0"/>
                <w:sz w:val="18"/>
                <w:szCs w:val="18"/>
              </w:rPr>
              <w:t>工程完成情况</w:t>
            </w:r>
          </w:p>
        </w:tc>
      </w:tr>
      <w:tr>
        <w:tblPrEx>
          <w:tblCellMar>
            <w:top w:w="0" w:type="dxa"/>
            <w:left w:w="0" w:type="dxa"/>
            <w:bottom w:w="0" w:type="dxa"/>
            <w:right w:w="0" w:type="dxa"/>
          </w:tblCellMar>
        </w:tblPrEx>
        <w:trPr>
          <w:trHeight w:val="397" w:hRule="atLeast"/>
        </w:trPr>
        <w:tc>
          <w:tcPr>
            <w:tcW w:w="289" w:type="pct"/>
            <w:tcBorders>
              <w:top w:val="single" w:color="000000" w:sz="2" w:space="0"/>
              <w:left w:val="single" w:color="000000" w:sz="2" w:space="0"/>
              <w:bottom w:val="single" w:color="000000" w:sz="2" w:space="0"/>
              <w:right w:val="single" w:color="000000" w:sz="2" w:space="0"/>
            </w:tcBorders>
            <w:shd w:val="clear" w:color="auto" w:fill="auto"/>
            <w:tcMar>
              <w:top w:w="15" w:type="dxa"/>
              <w:left w:w="15" w:type="dxa"/>
              <w:bottom w:w="0" w:type="dxa"/>
              <w:right w:w="15" w:type="dxa"/>
            </w:tcMar>
            <w:vAlign w:val="center"/>
          </w:tcPr>
          <w:p>
            <w:pPr>
              <w:widowControl/>
              <w:jc w:val="center"/>
              <w:textAlignment w:val="center"/>
              <w:rPr>
                <w:rFonts w:ascii="Times New Roman" w:hAnsi="Times New Roman" w:eastAsia="宋体" w:cs="Arial"/>
                <w:kern w:val="0"/>
                <w:sz w:val="18"/>
                <w:szCs w:val="18"/>
              </w:rPr>
            </w:pPr>
            <w:r>
              <w:rPr>
                <w:rFonts w:hint="eastAsia" w:ascii="Times New Roman" w:hAnsi="Times New Roman" w:eastAsia="等线" w:cs="Arial"/>
                <w:bCs/>
                <w:kern w:val="24"/>
                <w:sz w:val="18"/>
                <w:szCs w:val="18"/>
              </w:rPr>
              <w:t>1</w:t>
            </w:r>
          </w:p>
        </w:tc>
        <w:tc>
          <w:tcPr>
            <w:tcW w:w="1397" w:type="pct"/>
            <w:tcBorders>
              <w:top w:val="single" w:color="000000" w:sz="2" w:space="0"/>
              <w:left w:val="single" w:color="000000" w:sz="2" w:space="0"/>
              <w:bottom w:val="single" w:color="000000" w:sz="2" w:space="0"/>
              <w:right w:val="single" w:color="000000" w:sz="2" w:space="0"/>
            </w:tcBorders>
            <w:shd w:val="clear" w:color="auto" w:fill="auto"/>
            <w:tcMar>
              <w:top w:w="15" w:type="dxa"/>
              <w:left w:w="15" w:type="dxa"/>
              <w:bottom w:w="0" w:type="dxa"/>
              <w:right w:w="15" w:type="dxa"/>
            </w:tcMar>
            <w:vAlign w:val="center"/>
          </w:tcPr>
          <w:p>
            <w:pPr>
              <w:widowControl/>
              <w:jc w:val="center"/>
              <w:textAlignment w:val="center"/>
              <w:rPr>
                <w:rFonts w:ascii="Times New Roman" w:hAnsi="Times New Roman" w:eastAsia="宋体" w:cs="Arial"/>
                <w:kern w:val="0"/>
                <w:sz w:val="18"/>
                <w:szCs w:val="18"/>
              </w:rPr>
            </w:pPr>
            <w:r>
              <w:rPr>
                <w:rFonts w:ascii="Times New Roman" w:hAnsi="Times New Roman" w:eastAsia="宋体" w:cs="Arial"/>
                <w:bCs/>
                <w:kern w:val="24"/>
                <w:sz w:val="18"/>
                <w:szCs w:val="18"/>
              </w:rPr>
              <w:t>姚江干流堤防维修加固工程（慈城段、洪塘段）</w:t>
            </w:r>
          </w:p>
        </w:tc>
        <w:tc>
          <w:tcPr>
            <w:tcW w:w="621" w:type="pct"/>
            <w:tcBorders>
              <w:top w:val="single" w:color="000000" w:sz="2" w:space="0"/>
              <w:left w:val="single" w:color="000000" w:sz="2" w:space="0"/>
              <w:bottom w:val="single" w:color="000000" w:sz="2" w:space="0"/>
              <w:right w:val="single" w:color="000000" w:sz="2" w:space="0"/>
            </w:tcBorders>
            <w:shd w:val="clear" w:color="auto" w:fill="auto"/>
            <w:tcMar>
              <w:top w:w="15" w:type="dxa"/>
              <w:left w:w="15" w:type="dxa"/>
              <w:bottom w:w="0" w:type="dxa"/>
              <w:right w:w="15" w:type="dxa"/>
            </w:tcMar>
            <w:vAlign w:val="center"/>
          </w:tcPr>
          <w:p>
            <w:pPr>
              <w:widowControl/>
              <w:jc w:val="center"/>
              <w:textAlignment w:val="center"/>
              <w:rPr>
                <w:rFonts w:ascii="Times New Roman" w:hAnsi="Times New Roman" w:eastAsia="宋体" w:cs="Arial"/>
                <w:kern w:val="0"/>
                <w:sz w:val="18"/>
                <w:szCs w:val="18"/>
              </w:rPr>
            </w:pPr>
            <w:r>
              <w:rPr>
                <w:rFonts w:hint="eastAsia" w:ascii="Times New Roman" w:hAnsi="Times New Roman" w:eastAsia="等线" w:cs="Arial"/>
                <w:bCs/>
                <w:kern w:val="24"/>
                <w:sz w:val="18"/>
                <w:szCs w:val="18"/>
              </w:rPr>
              <w:t>2012-2016</w:t>
            </w:r>
          </w:p>
        </w:tc>
        <w:tc>
          <w:tcPr>
            <w:tcW w:w="1955" w:type="pct"/>
            <w:tcBorders>
              <w:top w:val="single" w:color="000000" w:sz="2" w:space="0"/>
              <w:left w:val="single" w:color="000000" w:sz="2" w:space="0"/>
              <w:bottom w:val="single" w:color="000000" w:sz="2" w:space="0"/>
              <w:right w:val="single" w:color="000000" w:sz="2" w:space="0"/>
            </w:tcBorders>
            <w:shd w:val="clear" w:color="auto" w:fill="auto"/>
            <w:tcMar>
              <w:top w:w="15" w:type="dxa"/>
              <w:left w:w="15" w:type="dxa"/>
              <w:bottom w:w="0" w:type="dxa"/>
              <w:right w:w="15" w:type="dxa"/>
            </w:tcMar>
            <w:vAlign w:val="center"/>
          </w:tcPr>
          <w:p>
            <w:pPr>
              <w:widowControl/>
              <w:jc w:val="center"/>
              <w:textAlignment w:val="center"/>
              <w:rPr>
                <w:rFonts w:ascii="Times New Roman" w:hAnsi="Times New Roman" w:eastAsia="宋体" w:cs="Arial"/>
                <w:kern w:val="0"/>
                <w:sz w:val="18"/>
                <w:szCs w:val="18"/>
              </w:rPr>
            </w:pPr>
            <w:r>
              <w:rPr>
                <w:rFonts w:ascii="Times New Roman" w:hAnsi="Times New Roman" w:eastAsia="宋体" w:cs="Arial"/>
                <w:bCs/>
                <w:kern w:val="24"/>
                <w:sz w:val="18"/>
                <w:szCs w:val="18"/>
              </w:rPr>
              <w:t>慈城段</w:t>
            </w:r>
            <w:r>
              <w:rPr>
                <w:rFonts w:hint="eastAsia" w:ascii="Times New Roman" w:hAnsi="Times New Roman" w:eastAsia="等线" w:cs="Arial"/>
                <w:bCs/>
                <w:kern w:val="24"/>
                <w:sz w:val="18"/>
                <w:szCs w:val="18"/>
              </w:rPr>
              <w:t>11km</w:t>
            </w:r>
            <w:r>
              <w:rPr>
                <w:rFonts w:ascii="Times New Roman" w:hAnsi="Times New Roman" w:eastAsia="宋体" w:cs="Arial"/>
                <w:bCs/>
                <w:kern w:val="24"/>
                <w:sz w:val="18"/>
                <w:szCs w:val="18"/>
              </w:rPr>
              <w:t>、洪塘段</w:t>
            </w:r>
            <w:r>
              <w:rPr>
                <w:rFonts w:hint="eastAsia" w:ascii="Times New Roman" w:hAnsi="Times New Roman" w:eastAsia="等线" w:cs="Arial"/>
                <w:bCs/>
                <w:kern w:val="24"/>
                <w:sz w:val="18"/>
                <w:szCs w:val="18"/>
              </w:rPr>
              <w:t>5.3km</w:t>
            </w:r>
            <w:r>
              <w:rPr>
                <w:rFonts w:ascii="Times New Roman" w:hAnsi="Times New Roman" w:eastAsia="宋体" w:cs="Arial"/>
                <w:bCs/>
                <w:kern w:val="24"/>
                <w:sz w:val="18"/>
                <w:szCs w:val="18"/>
              </w:rPr>
              <w:t>河道堤防整治及沿线水闸、泵站建设。</w:t>
            </w:r>
          </w:p>
        </w:tc>
        <w:tc>
          <w:tcPr>
            <w:tcW w:w="739" w:type="pct"/>
            <w:tcBorders>
              <w:top w:val="single" w:color="000000" w:sz="2" w:space="0"/>
              <w:left w:val="single" w:color="000000" w:sz="2" w:space="0"/>
              <w:bottom w:val="single" w:color="000000" w:sz="2" w:space="0"/>
              <w:right w:val="single" w:color="000000" w:sz="2" w:space="0"/>
            </w:tcBorders>
            <w:shd w:val="clear" w:color="auto" w:fill="auto"/>
            <w:vAlign w:val="center"/>
          </w:tcPr>
          <w:p>
            <w:pPr>
              <w:widowControl/>
              <w:jc w:val="center"/>
              <w:textAlignment w:val="center"/>
              <w:rPr>
                <w:rFonts w:ascii="Times New Roman" w:hAnsi="Times New Roman" w:eastAsia="宋体" w:cs="Arial"/>
                <w:bCs/>
                <w:kern w:val="24"/>
                <w:sz w:val="18"/>
                <w:szCs w:val="18"/>
              </w:rPr>
            </w:pPr>
            <w:r>
              <w:rPr>
                <w:rFonts w:hint="eastAsia" w:ascii="Times New Roman" w:hAnsi="Times New Roman" w:eastAsia="宋体" w:cs="Arial"/>
                <w:bCs/>
                <w:kern w:val="24"/>
                <w:sz w:val="18"/>
                <w:szCs w:val="18"/>
              </w:rPr>
              <w:t>完工</w:t>
            </w:r>
          </w:p>
        </w:tc>
      </w:tr>
      <w:tr>
        <w:tblPrEx>
          <w:tblCellMar>
            <w:top w:w="0" w:type="dxa"/>
            <w:left w:w="0" w:type="dxa"/>
            <w:bottom w:w="0" w:type="dxa"/>
            <w:right w:w="0" w:type="dxa"/>
          </w:tblCellMar>
        </w:tblPrEx>
        <w:trPr>
          <w:trHeight w:val="397" w:hRule="atLeast"/>
        </w:trPr>
        <w:tc>
          <w:tcPr>
            <w:tcW w:w="289" w:type="pct"/>
            <w:tcBorders>
              <w:top w:val="single" w:color="000000" w:sz="2" w:space="0"/>
              <w:left w:val="single" w:color="000000" w:sz="2" w:space="0"/>
              <w:bottom w:val="single" w:color="000000" w:sz="2" w:space="0"/>
              <w:right w:val="single" w:color="000000" w:sz="2" w:space="0"/>
            </w:tcBorders>
            <w:shd w:val="clear" w:color="auto" w:fill="auto"/>
            <w:tcMar>
              <w:top w:w="15" w:type="dxa"/>
              <w:left w:w="15" w:type="dxa"/>
              <w:bottom w:w="0" w:type="dxa"/>
              <w:right w:w="15" w:type="dxa"/>
            </w:tcMar>
            <w:vAlign w:val="center"/>
          </w:tcPr>
          <w:p>
            <w:pPr>
              <w:widowControl/>
              <w:jc w:val="center"/>
              <w:textAlignment w:val="center"/>
              <w:rPr>
                <w:rFonts w:ascii="Times New Roman" w:hAnsi="Times New Roman" w:eastAsia="宋体" w:cs="Arial"/>
                <w:kern w:val="0"/>
                <w:sz w:val="18"/>
                <w:szCs w:val="18"/>
              </w:rPr>
            </w:pPr>
            <w:r>
              <w:rPr>
                <w:rFonts w:hint="eastAsia" w:ascii="Times New Roman" w:hAnsi="Times New Roman" w:eastAsia="等线" w:cs="Arial"/>
                <w:bCs/>
                <w:kern w:val="24"/>
                <w:sz w:val="18"/>
                <w:szCs w:val="18"/>
              </w:rPr>
              <w:t>2</w:t>
            </w:r>
          </w:p>
        </w:tc>
        <w:tc>
          <w:tcPr>
            <w:tcW w:w="1397" w:type="pct"/>
            <w:tcBorders>
              <w:top w:val="single" w:color="000000" w:sz="2" w:space="0"/>
              <w:left w:val="single" w:color="000000" w:sz="2" w:space="0"/>
              <w:bottom w:val="single" w:color="000000" w:sz="2" w:space="0"/>
              <w:right w:val="single" w:color="000000" w:sz="2" w:space="0"/>
            </w:tcBorders>
            <w:shd w:val="clear" w:color="auto" w:fill="auto"/>
            <w:tcMar>
              <w:top w:w="15" w:type="dxa"/>
              <w:left w:w="15" w:type="dxa"/>
              <w:bottom w:w="0" w:type="dxa"/>
              <w:right w:w="15" w:type="dxa"/>
            </w:tcMar>
            <w:vAlign w:val="center"/>
          </w:tcPr>
          <w:p>
            <w:pPr>
              <w:widowControl/>
              <w:jc w:val="center"/>
              <w:textAlignment w:val="center"/>
              <w:rPr>
                <w:rFonts w:ascii="Times New Roman" w:hAnsi="Times New Roman" w:eastAsia="宋体" w:cs="Arial"/>
                <w:kern w:val="0"/>
                <w:sz w:val="18"/>
                <w:szCs w:val="18"/>
              </w:rPr>
            </w:pPr>
            <w:r>
              <w:rPr>
                <w:rFonts w:ascii="Times New Roman" w:hAnsi="Times New Roman" w:eastAsia="宋体" w:cs="Arial"/>
                <w:bCs/>
                <w:kern w:val="24"/>
                <w:sz w:val="18"/>
                <w:szCs w:val="18"/>
              </w:rPr>
              <w:t>姚江干流堤防维修加固工程（倪家堰段）</w:t>
            </w:r>
          </w:p>
        </w:tc>
        <w:tc>
          <w:tcPr>
            <w:tcW w:w="621" w:type="pct"/>
            <w:tcBorders>
              <w:top w:val="single" w:color="000000" w:sz="2" w:space="0"/>
              <w:left w:val="single" w:color="000000" w:sz="2" w:space="0"/>
              <w:bottom w:val="single" w:color="000000" w:sz="2" w:space="0"/>
              <w:right w:val="single" w:color="000000" w:sz="2" w:space="0"/>
            </w:tcBorders>
            <w:shd w:val="clear" w:color="auto" w:fill="auto"/>
            <w:tcMar>
              <w:top w:w="15" w:type="dxa"/>
              <w:left w:w="15" w:type="dxa"/>
              <w:bottom w:w="0" w:type="dxa"/>
              <w:right w:w="15" w:type="dxa"/>
            </w:tcMar>
            <w:vAlign w:val="center"/>
          </w:tcPr>
          <w:p>
            <w:pPr>
              <w:widowControl/>
              <w:jc w:val="center"/>
              <w:textAlignment w:val="center"/>
              <w:rPr>
                <w:rFonts w:ascii="Times New Roman" w:hAnsi="Times New Roman" w:eastAsia="宋体" w:cs="Arial"/>
                <w:kern w:val="0"/>
                <w:sz w:val="18"/>
                <w:szCs w:val="18"/>
              </w:rPr>
            </w:pPr>
            <w:r>
              <w:rPr>
                <w:rFonts w:hint="eastAsia" w:ascii="Times New Roman" w:hAnsi="Times New Roman" w:eastAsia="等线" w:cs="Arial"/>
                <w:bCs/>
                <w:kern w:val="24"/>
                <w:sz w:val="18"/>
                <w:szCs w:val="18"/>
              </w:rPr>
              <w:t>2016-2020</w:t>
            </w:r>
          </w:p>
        </w:tc>
        <w:tc>
          <w:tcPr>
            <w:tcW w:w="1955" w:type="pct"/>
            <w:tcBorders>
              <w:top w:val="single" w:color="000000" w:sz="2" w:space="0"/>
              <w:left w:val="single" w:color="000000" w:sz="2" w:space="0"/>
              <w:bottom w:val="single" w:color="000000" w:sz="2" w:space="0"/>
              <w:right w:val="single" w:color="000000" w:sz="2" w:space="0"/>
            </w:tcBorders>
            <w:shd w:val="clear" w:color="auto" w:fill="auto"/>
            <w:tcMar>
              <w:top w:w="15" w:type="dxa"/>
              <w:left w:w="15" w:type="dxa"/>
              <w:bottom w:w="0" w:type="dxa"/>
              <w:right w:w="15" w:type="dxa"/>
            </w:tcMar>
            <w:vAlign w:val="center"/>
          </w:tcPr>
          <w:p>
            <w:pPr>
              <w:widowControl/>
              <w:jc w:val="center"/>
              <w:textAlignment w:val="center"/>
              <w:rPr>
                <w:rFonts w:ascii="Times New Roman" w:hAnsi="Times New Roman" w:eastAsia="宋体" w:cs="Arial"/>
                <w:kern w:val="0"/>
                <w:sz w:val="18"/>
                <w:szCs w:val="18"/>
              </w:rPr>
            </w:pPr>
            <w:r>
              <w:rPr>
                <w:rFonts w:ascii="Times New Roman" w:hAnsi="Times New Roman" w:eastAsia="宋体" w:cs="Arial"/>
                <w:bCs/>
                <w:kern w:val="24"/>
                <w:sz w:val="18"/>
                <w:szCs w:val="18"/>
              </w:rPr>
              <w:t>堤防整治工程</w:t>
            </w:r>
            <w:r>
              <w:rPr>
                <w:rFonts w:hint="eastAsia" w:ascii="Times New Roman" w:hAnsi="Times New Roman" w:eastAsia="等线" w:cs="Arial"/>
                <w:bCs/>
                <w:kern w:val="24"/>
                <w:sz w:val="18"/>
                <w:szCs w:val="18"/>
              </w:rPr>
              <w:t>4km</w:t>
            </w:r>
          </w:p>
        </w:tc>
        <w:tc>
          <w:tcPr>
            <w:tcW w:w="739" w:type="pct"/>
            <w:tcBorders>
              <w:top w:val="single" w:color="000000" w:sz="2" w:space="0"/>
              <w:left w:val="single" w:color="000000" w:sz="2" w:space="0"/>
              <w:bottom w:val="single" w:color="000000" w:sz="2" w:space="0"/>
              <w:right w:val="single" w:color="000000" w:sz="2" w:space="0"/>
            </w:tcBorders>
            <w:shd w:val="clear" w:color="auto" w:fill="auto"/>
            <w:vAlign w:val="center"/>
          </w:tcPr>
          <w:p>
            <w:pPr>
              <w:widowControl/>
              <w:jc w:val="center"/>
              <w:textAlignment w:val="center"/>
              <w:rPr>
                <w:rFonts w:ascii="Times New Roman" w:hAnsi="Times New Roman" w:eastAsia="宋体" w:cs="Arial"/>
                <w:bCs/>
                <w:kern w:val="24"/>
                <w:sz w:val="18"/>
                <w:szCs w:val="18"/>
              </w:rPr>
            </w:pPr>
            <w:r>
              <w:rPr>
                <w:rFonts w:hint="eastAsia" w:ascii="Times New Roman" w:hAnsi="Times New Roman" w:eastAsia="宋体" w:cs="Arial"/>
                <w:bCs/>
                <w:kern w:val="24"/>
                <w:sz w:val="18"/>
                <w:szCs w:val="18"/>
              </w:rPr>
              <w:t>完工</w:t>
            </w:r>
          </w:p>
        </w:tc>
      </w:tr>
      <w:tr>
        <w:tblPrEx>
          <w:tblCellMar>
            <w:top w:w="0" w:type="dxa"/>
            <w:left w:w="0" w:type="dxa"/>
            <w:bottom w:w="0" w:type="dxa"/>
            <w:right w:w="0" w:type="dxa"/>
          </w:tblCellMar>
        </w:tblPrEx>
        <w:trPr>
          <w:trHeight w:val="397" w:hRule="atLeast"/>
        </w:trPr>
        <w:tc>
          <w:tcPr>
            <w:tcW w:w="289" w:type="pct"/>
            <w:tcBorders>
              <w:top w:val="single" w:color="000000" w:sz="2" w:space="0"/>
              <w:left w:val="single" w:color="000000" w:sz="2" w:space="0"/>
              <w:bottom w:val="single" w:color="000000" w:sz="2" w:space="0"/>
              <w:right w:val="single" w:color="000000" w:sz="2" w:space="0"/>
            </w:tcBorders>
            <w:shd w:val="clear" w:color="auto" w:fill="auto"/>
            <w:tcMar>
              <w:top w:w="15" w:type="dxa"/>
              <w:left w:w="15" w:type="dxa"/>
              <w:bottom w:w="0" w:type="dxa"/>
              <w:right w:w="15" w:type="dxa"/>
            </w:tcMar>
            <w:vAlign w:val="center"/>
          </w:tcPr>
          <w:p>
            <w:pPr>
              <w:widowControl/>
              <w:jc w:val="center"/>
              <w:textAlignment w:val="center"/>
              <w:rPr>
                <w:rFonts w:ascii="Times New Roman" w:hAnsi="Times New Roman" w:eastAsia="宋体" w:cs="Arial"/>
                <w:kern w:val="0"/>
                <w:sz w:val="18"/>
                <w:szCs w:val="18"/>
              </w:rPr>
            </w:pPr>
            <w:r>
              <w:rPr>
                <w:rFonts w:hint="eastAsia" w:ascii="Times New Roman" w:hAnsi="Times New Roman" w:eastAsia="等线" w:cs="Arial"/>
                <w:bCs/>
                <w:kern w:val="24"/>
                <w:sz w:val="18"/>
                <w:szCs w:val="18"/>
              </w:rPr>
              <w:t>3</w:t>
            </w:r>
          </w:p>
        </w:tc>
        <w:tc>
          <w:tcPr>
            <w:tcW w:w="1397" w:type="pct"/>
            <w:tcBorders>
              <w:top w:val="single" w:color="000000" w:sz="2" w:space="0"/>
              <w:left w:val="single" w:color="000000" w:sz="2" w:space="0"/>
              <w:bottom w:val="single" w:color="000000" w:sz="2" w:space="0"/>
              <w:right w:val="single" w:color="000000" w:sz="2" w:space="0"/>
            </w:tcBorders>
            <w:shd w:val="clear" w:color="auto" w:fill="auto"/>
            <w:tcMar>
              <w:top w:w="15" w:type="dxa"/>
              <w:left w:w="15" w:type="dxa"/>
              <w:bottom w:w="0" w:type="dxa"/>
              <w:right w:w="15" w:type="dxa"/>
            </w:tcMar>
            <w:vAlign w:val="center"/>
          </w:tcPr>
          <w:p>
            <w:pPr>
              <w:widowControl/>
              <w:jc w:val="center"/>
              <w:textAlignment w:val="center"/>
              <w:rPr>
                <w:rFonts w:ascii="Times New Roman" w:hAnsi="Times New Roman" w:eastAsia="宋体" w:cs="Arial"/>
                <w:kern w:val="0"/>
                <w:sz w:val="18"/>
                <w:szCs w:val="18"/>
              </w:rPr>
            </w:pPr>
            <w:r>
              <w:rPr>
                <w:rFonts w:ascii="Times New Roman" w:hAnsi="Times New Roman" w:eastAsia="宋体" w:cs="Arial"/>
                <w:bCs/>
                <w:kern w:val="24"/>
                <w:sz w:val="18"/>
                <w:szCs w:val="18"/>
              </w:rPr>
              <w:t>江北大河（农村段）整治工程</w:t>
            </w:r>
          </w:p>
        </w:tc>
        <w:tc>
          <w:tcPr>
            <w:tcW w:w="621" w:type="pct"/>
            <w:tcBorders>
              <w:top w:val="single" w:color="000000" w:sz="2" w:space="0"/>
              <w:left w:val="single" w:color="000000" w:sz="2" w:space="0"/>
              <w:bottom w:val="single" w:color="000000" w:sz="2" w:space="0"/>
              <w:right w:val="single" w:color="000000" w:sz="2" w:space="0"/>
            </w:tcBorders>
            <w:shd w:val="clear" w:color="auto" w:fill="auto"/>
            <w:tcMar>
              <w:top w:w="15" w:type="dxa"/>
              <w:left w:w="15" w:type="dxa"/>
              <w:bottom w:w="0" w:type="dxa"/>
              <w:right w:w="15" w:type="dxa"/>
            </w:tcMar>
            <w:vAlign w:val="center"/>
          </w:tcPr>
          <w:p>
            <w:pPr>
              <w:widowControl/>
              <w:jc w:val="center"/>
              <w:textAlignment w:val="center"/>
              <w:rPr>
                <w:rFonts w:ascii="Times New Roman" w:hAnsi="Times New Roman" w:eastAsia="宋体" w:cs="Arial"/>
                <w:kern w:val="0"/>
                <w:sz w:val="18"/>
                <w:szCs w:val="18"/>
              </w:rPr>
            </w:pPr>
            <w:r>
              <w:rPr>
                <w:rFonts w:hint="eastAsia" w:ascii="Times New Roman" w:hAnsi="Times New Roman" w:eastAsia="等线" w:cs="Arial"/>
                <w:bCs/>
                <w:kern w:val="24"/>
                <w:sz w:val="18"/>
                <w:szCs w:val="18"/>
              </w:rPr>
              <w:t>2014-2016</w:t>
            </w:r>
          </w:p>
        </w:tc>
        <w:tc>
          <w:tcPr>
            <w:tcW w:w="1955" w:type="pct"/>
            <w:tcBorders>
              <w:top w:val="single" w:color="000000" w:sz="2" w:space="0"/>
              <w:left w:val="single" w:color="000000" w:sz="2" w:space="0"/>
              <w:bottom w:val="single" w:color="000000" w:sz="2" w:space="0"/>
              <w:right w:val="single" w:color="000000" w:sz="2" w:space="0"/>
            </w:tcBorders>
            <w:shd w:val="clear" w:color="auto" w:fill="auto"/>
            <w:tcMar>
              <w:top w:w="15" w:type="dxa"/>
              <w:left w:w="15" w:type="dxa"/>
              <w:bottom w:w="0" w:type="dxa"/>
              <w:right w:w="15" w:type="dxa"/>
            </w:tcMar>
            <w:vAlign w:val="center"/>
          </w:tcPr>
          <w:p>
            <w:pPr>
              <w:widowControl/>
              <w:jc w:val="center"/>
              <w:textAlignment w:val="center"/>
              <w:rPr>
                <w:rFonts w:ascii="Times New Roman" w:hAnsi="Times New Roman" w:eastAsia="宋体" w:cs="Arial"/>
                <w:kern w:val="0"/>
                <w:sz w:val="18"/>
                <w:szCs w:val="18"/>
              </w:rPr>
            </w:pPr>
            <w:r>
              <w:rPr>
                <w:rFonts w:ascii="Times New Roman" w:hAnsi="Times New Roman" w:eastAsia="宋体" w:cs="Arial"/>
                <w:bCs/>
                <w:kern w:val="24"/>
                <w:sz w:val="18"/>
                <w:szCs w:val="18"/>
              </w:rPr>
              <w:t>堤防整治长度约</w:t>
            </w:r>
            <w:r>
              <w:rPr>
                <w:rFonts w:hint="eastAsia" w:ascii="Times New Roman" w:hAnsi="Times New Roman" w:eastAsia="等线" w:cs="Arial"/>
                <w:bCs/>
                <w:kern w:val="24"/>
                <w:sz w:val="18"/>
                <w:szCs w:val="18"/>
              </w:rPr>
              <w:t>3.9KM</w:t>
            </w:r>
            <w:r>
              <w:rPr>
                <w:rFonts w:ascii="Times New Roman" w:hAnsi="Times New Roman" w:eastAsia="宋体" w:cs="Arial"/>
                <w:bCs/>
                <w:kern w:val="24"/>
                <w:sz w:val="18"/>
                <w:szCs w:val="18"/>
              </w:rPr>
              <w:t>，包括水闸</w:t>
            </w:r>
            <w:r>
              <w:rPr>
                <w:rFonts w:hint="eastAsia" w:ascii="Times New Roman" w:hAnsi="Times New Roman" w:eastAsia="等线" w:cs="Arial"/>
                <w:bCs/>
                <w:kern w:val="24"/>
                <w:sz w:val="18"/>
                <w:szCs w:val="18"/>
              </w:rPr>
              <w:t>1</w:t>
            </w:r>
            <w:r>
              <w:rPr>
                <w:rFonts w:ascii="Times New Roman" w:hAnsi="Times New Roman" w:eastAsia="宋体" w:cs="Arial"/>
                <w:bCs/>
                <w:kern w:val="24"/>
                <w:sz w:val="18"/>
                <w:szCs w:val="18"/>
              </w:rPr>
              <w:t>座、配套改建桥梁</w:t>
            </w:r>
            <w:r>
              <w:rPr>
                <w:rFonts w:hint="eastAsia" w:ascii="Times New Roman" w:hAnsi="Times New Roman" w:eastAsia="等线" w:cs="Arial"/>
                <w:bCs/>
                <w:kern w:val="24"/>
                <w:sz w:val="18"/>
                <w:szCs w:val="18"/>
              </w:rPr>
              <w:t>7</w:t>
            </w:r>
            <w:r>
              <w:rPr>
                <w:rFonts w:ascii="Times New Roman" w:hAnsi="Times New Roman" w:eastAsia="宋体" w:cs="Arial"/>
                <w:bCs/>
                <w:kern w:val="24"/>
                <w:sz w:val="18"/>
                <w:szCs w:val="18"/>
              </w:rPr>
              <w:t>座。</w:t>
            </w:r>
          </w:p>
        </w:tc>
        <w:tc>
          <w:tcPr>
            <w:tcW w:w="739" w:type="pct"/>
            <w:tcBorders>
              <w:top w:val="single" w:color="000000" w:sz="2" w:space="0"/>
              <w:left w:val="single" w:color="000000" w:sz="2" w:space="0"/>
              <w:bottom w:val="single" w:color="000000" w:sz="2" w:space="0"/>
              <w:right w:val="single" w:color="000000" w:sz="2" w:space="0"/>
            </w:tcBorders>
            <w:shd w:val="clear" w:color="auto" w:fill="auto"/>
            <w:vAlign w:val="center"/>
          </w:tcPr>
          <w:p>
            <w:pPr>
              <w:widowControl/>
              <w:jc w:val="center"/>
              <w:textAlignment w:val="center"/>
              <w:rPr>
                <w:rFonts w:ascii="Times New Roman" w:hAnsi="Times New Roman" w:eastAsia="宋体" w:cs="Arial"/>
                <w:bCs/>
                <w:kern w:val="24"/>
                <w:sz w:val="18"/>
                <w:szCs w:val="18"/>
              </w:rPr>
            </w:pPr>
            <w:r>
              <w:rPr>
                <w:rFonts w:hint="eastAsia" w:ascii="Times New Roman" w:hAnsi="Times New Roman" w:eastAsia="宋体" w:cs="Arial"/>
                <w:bCs/>
                <w:kern w:val="24"/>
                <w:sz w:val="18"/>
                <w:szCs w:val="18"/>
              </w:rPr>
              <w:t>完工</w:t>
            </w:r>
          </w:p>
        </w:tc>
      </w:tr>
      <w:tr>
        <w:tblPrEx>
          <w:tblCellMar>
            <w:top w:w="0" w:type="dxa"/>
            <w:left w:w="0" w:type="dxa"/>
            <w:bottom w:w="0" w:type="dxa"/>
            <w:right w:w="0" w:type="dxa"/>
          </w:tblCellMar>
        </w:tblPrEx>
        <w:trPr>
          <w:trHeight w:val="397" w:hRule="atLeast"/>
        </w:trPr>
        <w:tc>
          <w:tcPr>
            <w:tcW w:w="289" w:type="pct"/>
            <w:tcBorders>
              <w:top w:val="single" w:color="000000" w:sz="2" w:space="0"/>
              <w:left w:val="single" w:color="000000" w:sz="2" w:space="0"/>
              <w:bottom w:val="single" w:color="000000" w:sz="2" w:space="0"/>
              <w:right w:val="single" w:color="000000" w:sz="2" w:space="0"/>
            </w:tcBorders>
            <w:shd w:val="clear" w:color="auto" w:fill="auto"/>
            <w:tcMar>
              <w:top w:w="15" w:type="dxa"/>
              <w:left w:w="15" w:type="dxa"/>
              <w:bottom w:w="0" w:type="dxa"/>
              <w:right w:w="15" w:type="dxa"/>
            </w:tcMar>
            <w:vAlign w:val="center"/>
          </w:tcPr>
          <w:p>
            <w:pPr>
              <w:widowControl/>
              <w:jc w:val="center"/>
              <w:textAlignment w:val="center"/>
              <w:rPr>
                <w:rFonts w:ascii="Times New Roman" w:hAnsi="Times New Roman" w:eastAsia="宋体" w:cs="Arial"/>
                <w:kern w:val="0"/>
                <w:sz w:val="18"/>
                <w:szCs w:val="18"/>
              </w:rPr>
            </w:pPr>
            <w:r>
              <w:rPr>
                <w:rFonts w:hint="eastAsia" w:ascii="Times New Roman" w:hAnsi="Times New Roman" w:eastAsia="等线" w:cs="Arial"/>
                <w:bCs/>
                <w:kern w:val="24"/>
                <w:sz w:val="18"/>
                <w:szCs w:val="18"/>
              </w:rPr>
              <w:t>4</w:t>
            </w:r>
          </w:p>
        </w:tc>
        <w:tc>
          <w:tcPr>
            <w:tcW w:w="1397" w:type="pct"/>
            <w:tcBorders>
              <w:top w:val="single" w:color="000000" w:sz="2" w:space="0"/>
              <w:left w:val="single" w:color="000000" w:sz="2" w:space="0"/>
              <w:bottom w:val="single" w:color="000000" w:sz="2" w:space="0"/>
              <w:right w:val="single" w:color="000000" w:sz="2" w:space="0"/>
            </w:tcBorders>
            <w:shd w:val="clear" w:color="auto" w:fill="auto"/>
            <w:tcMar>
              <w:top w:w="15" w:type="dxa"/>
              <w:left w:w="15" w:type="dxa"/>
              <w:bottom w:w="0" w:type="dxa"/>
              <w:right w:w="15" w:type="dxa"/>
            </w:tcMar>
            <w:vAlign w:val="center"/>
          </w:tcPr>
          <w:p>
            <w:pPr>
              <w:widowControl/>
              <w:jc w:val="center"/>
              <w:textAlignment w:val="center"/>
              <w:rPr>
                <w:rFonts w:ascii="Times New Roman" w:hAnsi="Times New Roman" w:eastAsia="宋体" w:cs="Arial"/>
                <w:kern w:val="0"/>
                <w:sz w:val="18"/>
                <w:szCs w:val="18"/>
              </w:rPr>
            </w:pPr>
            <w:r>
              <w:rPr>
                <w:rFonts w:ascii="Times New Roman" w:hAnsi="Times New Roman" w:eastAsia="宋体" w:cs="Arial"/>
                <w:bCs/>
                <w:kern w:val="24"/>
                <w:sz w:val="18"/>
                <w:szCs w:val="18"/>
              </w:rPr>
              <w:t>江北大河（城区段）整治工程</w:t>
            </w:r>
          </w:p>
        </w:tc>
        <w:tc>
          <w:tcPr>
            <w:tcW w:w="621" w:type="pct"/>
            <w:tcBorders>
              <w:top w:val="single" w:color="000000" w:sz="2" w:space="0"/>
              <w:left w:val="single" w:color="000000" w:sz="2" w:space="0"/>
              <w:bottom w:val="single" w:color="000000" w:sz="2" w:space="0"/>
              <w:right w:val="single" w:color="000000" w:sz="2" w:space="0"/>
            </w:tcBorders>
            <w:shd w:val="clear" w:color="auto" w:fill="auto"/>
            <w:tcMar>
              <w:top w:w="15" w:type="dxa"/>
              <w:left w:w="15" w:type="dxa"/>
              <w:bottom w:w="0" w:type="dxa"/>
              <w:right w:w="15" w:type="dxa"/>
            </w:tcMar>
            <w:vAlign w:val="center"/>
          </w:tcPr>
          <w:p>
            <w:pPr>
              <w:widowControl/>
              <w:jc w:val="center"/>
              <w:textAlignment w:val="center"/>
              <w:rPr>
                <w:rFonts w:ascii="Times New Roman" w:hAnsi="Times New Roman" w:eastAsia="宋体" w:cs="Arial"/>
                <w:kern w:val="0"/>
                <w:sz w:val="18"/>
                <w:szCs w:val="18"/>
              </w:rPr>
            </w:pPr>
            <w:r>
              <w:rPr>
                <w:rFonts w:hint="eastAsia" w:ascii="Times New Roman" w:hAnsi="Times New Roman" w:eastAsia="等线" w:cs="Arial"/>
                <w:bCs/>
                <w:kern w:val="24"/>
                <w:sz w:val="18"/>
                <w:szCs w:val="18"/>
              </w:rPr>
              <w:t>2016-2020</w:t>
            </w:r>
          </w:p>
        </w:tc>
        <w:tc>
          <w:tcPr>
            <w:tcW w:w="1955" w:type="pct"/>
            <w:tcBorders>
              <w:top w:val="single" w:color="000000" w:sz="2" w:space="0"/>
              <w:left w:val="single" w:color="000000" w:sz="2" w:space="0"/>
              <w:bottom w:val="single" w:color="000000" w:sz="2" w:space="0"/>
              <w:right w:val="single" w:color="000000" w:sz="2" w:space="0"/>
            </w:tcBorders>
            <w:shd w:val="clear" w:color="auto" w:fill="auto"/>
            <w:tcMar>
              <w:top w:w="15" w:type="dxa"/>
              <w:left w:w="15" w:type="dxa"/>
              <w:bottom w:w="0" w:type="dxa"/>
              <w:right w:w="15" w:type="dxa"/>
            </w:tcMar>
            <w:vAlign w:val="center"/>
          </w:tcPr>
          <w:p>
            <w:pPr>
              <w:widowControl/>
              <w:jc w:val="center"/>
              <w:textAlignment w:val="center"/>
              <w:rPr>
                <w:rFonts w:ascii="Times New Roman" w:hAnsi="Times New Roman" w:eastAsia="宋体" w:cs="Arial"/>
                <w:kern w:val="0"/>
                <w:sz w:val="18"/>
                <w:szCs w:val="18"/>
              </w:rPr>
            </w:pPr>
            <w:r>
              <w:rPr>
                <w:rFonts w:ascii="Times New Roman" w:hAnsi="Times New Roman" w:eastAsia="宋体" w:cs="Arial"/>
                <w:bCs/>
                <w:kern w:val="24"/>
                <w:sz w:val="18"/>
                <w:szCs w:val="18"/>
              </w:rPr>
              <w:t>卡口打通</w:t>
            </w:r>
          </w:p>
        </w:tc>
        <w:tc>
          <w:tcPr>
            <w:tcW w:w="739" w:type="pct"/>
            <w:tcBorders>
              <w:top w:val="single" w:color="000000" w:sz="2" w:space="0"/>
              <w:left w:val="single" w:color="000000" w:sz="2" w:space="0"/>
              <w:bottom w:val="single" w:color="000000" w:sz="2" w:space="0"/>
              <w:right w:val="single" w:color="000000" w:sz="2" w:space="0"/>
            </w:tcBorders>
            <w:shd w:val="clear" w:color="auto" w:fill="auto"/>
            <w:vAlign w:val="center"/>
          </w:tcPr>
          <w:p>
            <w:pPr>
              <w:widowControl/>
              <w:jc w:val="center"/>
              <w:textAlignment w:val="center"/>
              <w:rPr>
                <w:rFonts w:ascii="Times New Roman" w:hAnsi="Times New Roman" w:eastAsia="宋体" w:cs="Arial"/>
                <w:bCs/>
                <w:kern w:val="24"/>
                <w:sz w:val="18"/>
                <w:szCs w:val="18"/>
              </w:rPr>
            </w:pPr>
            <w:r>
              <w:rPr>
                <w:rFonts w:hint="eastAsia" w:ascii="Times New Roman" w:hAnsi="Times New Roman" w:eastAsia="宋体" w:cs="Arial"/>
                <w:bCs/>
                <w:kern w:val="24"/>
                <w:sz w:val="18"/>
                <w:szCs w:val="18"/>
              </w:rPr>
              <w:t>完工</w:t>
            </w:r>
          </w:p>
        </w:tc>
      </w:tr>
      <w:tr>
        <w:tblPrEx>
          <w:tblCellMar>
            <w:top w:w="0" w:type="dxa"/>
            <w:left w:w="0" w:type="dxa"/>
            <w:bottom w:w="0" w:type="dxa"/>
            <w:right w:w="0" w:type="dxa"/>
          </w:tblCellMar>
        </w:tblPrEx>
        <w:trPr>
          <w:trHeight w:val="397" w:hRule="atLeast"/>
        </w:trPr>
        <w:tc>
          <w:tcPr>
            <w:tcW w:w="289" w:type="pct"/>
            <w:tcBorders>
              <w:top w:val="single" w:color="000000" w:sz="2" w:space="0"/>
              <w:left w:val="single" w:color="000000" w:sz="2" w:space="0"/>
              <w:bottom w:val="single" w:color="000000" w:sz="2" w:space="0"/>
              <w:right w:val="single" w:color="000000" w:sz="2" w:space="0"/>
            </w:tcBorders>
            <w:shd w:val="clear" w:color="auto" w:fill="auto"/>
            <w:tcMar>
              <w:top w:w="15" w:type="dxa"/>
              <w:left w:w="15" w:type="dxa"/>
              <w:bottom w:w="0" w:type="dxa"/>
              <w:right w:w="15" w:type="dxa"/>
            </w:tcMar>
            <w:vAlign w:val="center"/>
          </w:tcPr>
          <w:p>
            <w:pPr>
              <w:widowControl/>
              <w:jc w:val="center"/>
              <w:textAlignment w:val="center"/>
              <w:rPr>
                <w:rFonts w:ascii="Times New Roman" w:hAnsi="Times New Roman" w:eastAsia="宋体" w:cs="Arial"/>
                <w:kern w:val="0"/>
                <w:sz w:val="18"/>
                <w:szCs w:val="18"/>
              </w:rPr>
            </w:pPr>
            <w:r>
              <w:rPr>
                <w:rFonts w:hint="eastAsia" w:ascii="Times New Roman" w:hAnsi="Times New Roman" w:eastAsia="等线" w:cs="Arial"/>
                <w:bCs/>
                <w:kern w:val="24"/>
                <w:sz w:val="18"/>
                <w:szCs w:val="18"/>
              </w:rPr>
              <w:t>5</w:t>
            </w:r>
          </w:p>
        </w:tc>
        <w:tc>
          <w:tcPr>
            <w:tcW w:w="1397" w:type="pct"/>
            <w:tcBorders>
              <w:top w:val="single" w:color="000000" w:sz="2" w:space="0"/>
              <w:left w:val="single" w:color="000000" w:sz="2" w:space="0"/>
              <w:bottom w:val="single" w:color="000000" w:sz="2" w:space="0"/>
              <w:right w:val="single" w:color="000000" w:sz="2" w:space="0"/>
            </w:tcBorders>
            <w:shd w:val="clear" w:color="auto" w:fill="auto"/>
            <w:tcMar>
              <w:top w:w="15" w:type="dxa"/>
              <w:left w:w="15" w:type="dxa"/>
              <w:bottom w:w="0" w:type="dxa"/>
              <w:right w:w="15" w:type="dxa"/>
            </w:tcMar>
            <w:vAlign w:val="center"/>
          </w:tcPr>
          <w:p>
            <w:pPr>
              <w:widowControl/>
              <w:jc w:val="center"/>
              <w:textAlignment w:val="center"/>
              <w:rPr>
                <w:rFonts w:ascii="Times New Roman" w:hAnsi="Times New Roman" w:eastAsia="宋体" w:cs="Arial"/>
                <w:kern w:val="0"/>
                <w:sz w:val="18"/>
                <w:szCs w:val="18"/>
              </w:rPr>
            </w:pPr>
            <w:r>
              <w:rPr>
                <w:rFonts w:ascii="Times New Roman" w:hAnsi="Times New Roman" w:eastAsia="宋体" w:cs="Arial"/>
                <w:bCs/>
                <w:kern w:val="24"/>
                <w:sz w:val="18"/>
                <w:szCs w:val="18"/>
              </w:rPr>
              <w:t>姚江二通道（慈江）提升工程</w:t>
            </w:r>
          </w:p>
        </w:tc>
        <w:tc>
          <w:tcPr>
            <w:tcW w:w="621" w:type="pct"/>
            <w:tcBorders>
              <w:top w:val="single" w:color="000000" w:sz="2" w:space="0"/>
              <w:left w:val="single" w:color="000000" w:sz="2" w:space="0"/>
              <w:bottom w:val="single" w:color="auto" w:sz="4" w:space="0"/>
              <w:right w:val="single" w:color="000000" w:sz="2" w:space="0"/>
            </w:tcBorders>
            <w:shd w:val="clear" w:color="auto" w:fill="auto"/>
            <w:tcMar>
              <w:top w:w="15" w:type="dxa"/>
              <w:left w:w="15" w:type="dxa"/>
              <w:bottom w:w="0" w:type="dxa"/>
              <w:right w:w="15" w:type="dxa"/>
            </w:tcMar>
            <w:vAlign w:val="center"/>
          </w:tcPr>
          <w:p>
            <w:pPr>
              <w:widowControl/>
              <w:jc w:val="center"/>
              <w:textAlignment w:val="center"/>
              <w:rPr>
                <w:rFonts w:ascii="Times New Roman" w:hAnsi="Times New Roman" w:eastAsia="宋体" w:cs="Arial"/>
                <w:kern w:val="0"/>
                <w:sz w:val="18"/>
                <w:szCs w:val="18"/>
              </w:rPr>
            </w:pPr>
            <w:r>
              <w:rPr>
                <w:rFonts w:hint="eastAsia" w:ascii="Times New Roman" w:hAnsi="Times New Roman" w:eastAsia="等线" w:cs="Arial"/>
                <w:bCs/>
                <w:kern w:val="24"/>
                <w:sz w:val="18"/>
                <w:szCs w:val="18"/>
              </w:rPr>
              <w:t>2016-2020</w:t>
            </w:r>
          </w:p>
        </w:tc>
        <w:tc>
          <w:tcPr>
            <w:tcW w:w="1955" w:type="pct"/>
            <w:tcBorders>
              <w:top w:val="single" w:color="000000" w:sz="2" w:space="0"/>
              <w:left w:val="single" w:color="000000" w:sz="2" w:space="0"/>
              <w:bottom w:val="single" w:color="000000" w:sz="2" w:space="0"/>
              <w:right w:val="single" w:color="000000" w:sz="2" w:space="0"/>
            </w:tcBorders>
            <w:shd w:val="clear" w:color="auto" w:fill="auto"/>
            <w:tcMar>
              <w:top w:w="15" w:type="dxa"/>
              <w:left w:w="15" w:type="dxa"/>
              <w:bottom w:w="0" w:type="dxa"/>
              <w:right w:w="15" w:type="dxa"/>
            </w:tcMar>
            <w:vAlign w:val="center"/>
          </w:tcPr>
          <w:p>
            <w:pPr>
              <w:widowControl/>
              <w:jc w:val="center"/>
              <w:textAlignment w:val="center"/>
              <w:rPr>
                <w:rFonts w:ascii="Times New Roman" w:hAnsi="Times New Roman" w:eastAsia="宋体" w:cs="Arial"/>
                <w:kern w:val="0"/>
                <w:sz w:val="18"/>
                <w:szCs w:val="18"/>
              </w:rPr>
            </w:pPr>
            <w:r>
              <w:rPr>
                <w:rFonts w:ascii="Times New Roman" w:hAnsi="Times New Roman" w:eastAsia="宋体" w:cs="Arial"/>
                <w:bCs/>
                <w:kern w:val="24"/>
                <w:sz w:val="18"/>
                <w:szCs w:val="18"/>
              </w:rPr>
              <w:t>慈江堤防沿线提升、同时配套闸泵建设</w:t>
            </w:r>
          </w:p>
        </w:tc>
        <w:tc>
          <w:tcPr>
            <w:tcW w:w="739" w:type="pct"/>
            <w:tcBorders>
              <w:top w:val="single" w:color="000000" w:sz="2" w:space="0"/>
              <w:left w:val="single" w:color="000000" w:sz="2" w:space="0"/>
              <w:bottom w:val="single" w:color="000000" w:sz="2" w:space="0"/>
              <w:right w:val="single" w:color="000000" w:sz="2" w:space="0"/>
            </w:tcBorders>
            <w:shd w:val="clear" w:color="auto" w:fill="auto"/>
            <w:vAlign w:val="center"/>
          </w:tcPr>
          <w:p>
            <w:pPr>
              <w:widowControl/>
              <w:jc w:val="center"/>
              <w:textAlignment w:val="center"/>
              <w:rPr>
                <w:rFonts w:ascii="Times New Roman" w:hAnsi="Times New Roman" w:eastAsia="宋体" w:cs="Arial"/>
                <w:bCs/>
                <w:kern w:val="24"/>
                <w:sz w:val="18"/>
                <w:szCs w:val="18"/>
              </w:rPr>
            </w:pPr>
            <w:r>
              <w:rPr>
                <w:rFonts w:hint="eastAsia" w:ascii="Times New Roman" w:hAnsi="Times New Roman" w:eastAsia="宋体" w:cs="Arial"/>
                <w:bCs/>
                <w:kern w:val="24"/>
                <w:sz w:val="18"/>
                <w:szCs w:val="18"/>
              </w:rPr>
              <w:t>基本完工</w:t>
            </w:r>
          </w:p>
        </w:tc>
      </w:tr>
      <w:tr>
        <w:tblPrEx>
          <w:tblCellMar>
            <w:top w:w="0" w:type="dxa"/>
            <w:left w:w="0" w:type="dxa"/>
            <w:bottom w:w="0" w:type="dxa"/>
            <w:right w:w="0" w:type="dxa"/>
          </w:tblCellMar>
        </w:tblPrEx>
        <w:trPr>
          <w:trHeight w:val="397" w:hRule="atLeast"/>
        </w:trPr>
        <w:tc>
          <w:tcPr>
            <w:tcW w:w="289" w:type="pct"/>
            <w:tcBorders>
              <w:top w:val="single" w:color="000000" w:sz="2" w:space="0"/>
              <w:left w:val="single" w:color="000000" w:sz="2" w:space="0"/>
              <w:bottom w:val="single" w:color="000000" w:sz="2" w:space="0"/>
              <w:right w:val="single" w:color="000000" w:sz="2" w:space="0"/>
            </w:tcBorders>
            <w:shd w:val="clear" w:color="auto" w:fill="auto"/>
            <w:tcMar>
              <w:top w:w="15" w:type="dxa"/>
              <w:left w:w="15" w:type="dxa"/>
              <w:bottom w:w="0" w:type="dxa"/>
              <w:right w:w="15" w:type="dxa"/>
            </w:tcMar>
            <w:vAlign w:val="center"/>
          </w:tcPr>
          <w:p>
            <w:pPr>
              <w:widowControl/>
              <w:jc w:val="center"/>
              <w:textAlignment w:val="center"/>
              <w:rPr>
                <w:rFonts w:ascii="Times New Roman" w:hAnsi="Times New Roman" w:eastAsia="宋体" w:cs="Arial"/>
                <w:kern w:val="0"/>
                <w:sz w:val="18"/>
                <w:szCs w:val="18"/>
              </w:rPr>
            </w:pPr>
            <w:r>
              <w:rPr>
                <w:rFonts w:hint="eastAsia" w:ascii="Times New Roman" w:hAnsi="Times New Roman" w:eastAsia="等线" w:cs="Arial"/>
                <w:bCs/>
                <w:kern w:val="24"/>
                <w:sz w:val="18"/>
                <w:szCs w:val="18"/>
              </w:rPr>
              <w:t>6</w:t>
            </w:r>
          </w:p>
        </w:tc>
        <w:tc>
          <w:tcPr>
            <w:tcW w:w="1397" w:type="pct"/>
            <w:vMerge w:val="restart"/>
            <w:tcBorders>
              <w:top w:val="single" w:color="000000" w:sz="2" w:space="0"/>
              <w:left w:val="single" w:color="000000" w:sz="2" w:space="0"/>
              <w:right w:val="single" w:color="auto" w:sz="4" w:space="0"/>
            </w:tcBorders>
            <w:shd w:val="clear" w:color="auto" w:fill="auto"/>
            <w:tcMar>
              <w:top w:w="15" w:type="dxa"/>
              <w:left w:w="15" w:type="dxa"/>
              <w:bottom w:w="0" w:type="dxa"/>
              <w:right w:w="15" w:type="dxa"/>
            </w:tcMar>
            <w:vAlign w:val="center"/>
          </w:tcPr>
          <w:p>
            <w:pPr>
              <w:widowControl/>
              <w:jc w:val="center"/>
              <w:textAlignment w:val="center"/>
              <w:rPr>
                <w:rFonts w:ascii="Times New Roman" w:hAnsi="Times New Roman" w:eastAsia="宋体" w:cs="Arial"/>
                <w:kern w:val="0"/>
                <w:sz w:val="18"/>
                <w:szCs w:val="18"/>
              </w:rPr>
            </w:pPr>
            <w:r>
              <w:rPr>
                <w:rFonts w:ascii="Times New Roman" w:hAnsi="Times New Roman" w:eastAsia="宋体" w:cs="Arial"/>
                <w:bCs/>
                <w:kern w:val="24"/>
                <w:sz w:val="18"/>
                <w:szCs w:val="18"/>
              </w:rPr>
              <w:t>中横河整治工程</w:t>
            </w:r>
          </w:p>
        </w:tc>
        <w:tc>
          <w:tcPr>
            <w:tcW w:w="62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jc w:val="center"/>
              <w:textAlignment w:val="center"/>
              <w:rPr>
                <w:rFonts w:ascii="Times New Roman" w:hAnsi="Times New Roman" w:eastAsia="宋体" w:cs="Arial"/>
                <w:kern w:val="0"/>
                <w:sz w:val="18"/>
                <w:szCs w:val="18"/>
              </w:rPr>
            </w:pPr>
            <w:r>
              <w:rPr>
                <w:rFonts w:hint="eastAsia" w:ascii="Times New Roman" w:hAnsi="Times New Roman" w:eastAsia="等线" w:cs="Arial"/>
                <w:bCs/>
                <w:kern w:val="24"/>
                <w:sz w:val="18"/>
                <w:szCs w:val="18"/>
              </w:rPr>
              <w:t>2013-2016</w:t>
            </w:r>
          </w:p>
        </w:tc>
        <w:tc>
          <w:tcPr>
            <w:tcW w:w="1955" w:type="pct"/>
            <w:tcBorders>
              <w:top w:val="single" w:color="000000" w:sz="2" w:space="0"/>
              <w:left w:val="single" w:color="auto" w:sz="4" w:space="0"/>
              <w:bottom w:val="single" w:color="000000" w:sz="2" w:space="0"/>
              <w:right w:val="single" w:color="000000" w:sz="2" w:space="0"/>
            </w:tcBorders>
            <w:shd w:val="clear" w:color="auto" w:fill="auto"/>
            <w:tcMar>
              <w:top w:w="15" w:type="dxa"/>
              <w:left w:w="15" w:type="dxa"/>
              <w:bottom w:w="0" w:type="dxa"/>
              <w:right w:w="15" w:type="dxa"/>
            </w:tcMar>
            <w:vAlign w:val="center"/>
          </w:tcPr>
          <w:p>
            <w:pPr>
              <w:widowControl/>
              <w:jc w:val="center"/>
              <w:textAlignment w:val="center"/>
              <w:rPr>
                <w:rFonts w:ascii="Times New Roman" w:hAnsi="Times New Roman" w:eastAsia="宋体" w:cs="Arial"/>
                <w:kern w:val="0"/>
                <w:sz w:val="18"/>
                <w:szCs w:val="18"/>
              </w:rPr>
            </w:pPr>
            <w:r>
              <w:rPr>
                <w:rFonts w:hint="eastAsia" w:ascii="Times New Roman" w:hAnsi="Times New Roman" w:eastAsia="等线" w:cs="Arial"/>
                <w:bCs/>
                <w:kern w:val="24"/>
                <w:sz w:val="18"/>
                <w:szCs w:val="18"/>
              </w:rPr>
              <w:t>4km</w:t>
            </w:r>
            <w:r>
              <w:rPr>
                <w:rFonts w:ascii="Times New Roman" w:hAnsi="Times New Roman" w:eastAsia="宋体" w:cs="Arial"/>
                <w:bCs/>
                <w:kern w:val="24"/>
                <w:sz w:val="18"/>
                <w:szCs w:val="18"/>
              </w:rPr>
              <w:t>河道综合整治</w:t>
            </w:r>
          </w:p>
        </w:tc>
        <w:tc>
          <w:tcPr>
            <w:tcW w:w="739" w:type="pct"/>
            <w:vMerge w:val="restart"/>
            <w:tcBorders>
              <w:top w:val="single" w:color="000000" w:sz="2" w:space="0"/>
              <w:left w:val="single" w:color="000000" w:sz="2" w:space="0"/>
              <w:right w:val="single" w:color="000000" w:sz="2" w:space="0"/>
            </w:tcBorders>
            <w:shd w:val="clear" w:color="auto" w:fill="auto"/>
            <w:vAlign w:val="center"/>
          </w:tcPr>
          <w:p>
            <w:pPr>
              <w:widowControl/>
              <w:jc w:val="center"/>
              <w:textAlignment w:val="center"/>
              <w:rPr>
                <w:rFonts w:ascii="Times New Roman" w:hAnsi="Times New Roman" w:eastAsia="等线" w:cs="Arial"/>
                <w:bCs/>
                <w:kern w:val="24"/>
                <w:sz w:val="18"/>
                <w:szCs w:val="18"/>
              </w:rPr>
            </w:pPr>
            <w:r>
              <w:rPr>
                <w:rFonts w:hint="eastAsia" w:ascii="Times New Roman" w:hAnsi="Times New Roman" w:eastAsia="等线" w:cs="Arial"/>
                <w:bCs/>
                <w:kern w:val="24"/>
                <w:sz w:val="18"/>
                <w:szCs w:val="18"/>
              </w:rPr>
              <w:t>完工</w:t>
            </w:r>
          </w:p>
        </w:tc>
      </w:tr>
      <w:tr>
        <w:tblPrEx>
          <w:tblCellMar>
            <w:top w:w="0" w:type="dxa"/>
            <w:left w:w="0" w:type="dxa"/>
            <w:bottom w:w="0" w:type="dxa"/>
            <w:right w:w="0" w:type="dxa"/>
          </w:tblCellMar>
        </w:tblPrEx>
        <w:trPr>
          <w:trHeight w:val="397" w:hRule="atLeast"/>
        </w:trPr>
        <w:tc>
          <w:tcPr>
            <w:tcW w:w="289" w:type="pct"/>
            <w:tcBorders>
              <w:top w:val="single" w:color="000000" w:sz="2" w:space="0"/>
              <w:left w:val="single" w:color="000000" w:sz="2" w:space="0"/>
              <w:bottom w:val="single" w:color="000000" w:sz="2" w:space="0"/>
              <w:right w:val="single" w:color="000000" w:sz="2" w:space="0"/>
            </w:tcBorders>
            <w:shd w:val="clear" w:color="auto" w:fill="auto"/>
            <w:tcMar>
              <w:top w:w="15" w:type="dxa"/>
              <w:left w:w="15" w:type="dxa"/>
              <w:bottom w:w="0" w:type="dxa"/>
              <w:right w:w="15" w:type="dxa"/>
            </w:tcMar>
            <w:vAlign w:val="center"/>
          </w:tcPr>
          <w:p>
            <w:pPr>
              <w:widowControl/>
              <w:jc w:val="center"/>
              <w:textAlignment w:val="center"/>
              <w:rPr>
                <w:rFonts w:ascii="Times New Roman" w:hAnsi="Times New Roman" w:eastAsia="等线" w:cs="Arial"/>
                <w:bCs/>
                <w:kern w:val="24"/>
                <w:sz w:val="18"/>
                <w:szCs w:val="18"/>
              </w:rPr>
            </w:pPr>
            <w:r>
              <w:rPr>
                <w:rFonts w:hint="eastAsia" w:ascii="Times New Roman" w:hAnsi="Times New Roman" w:eastAsia="等线" w:cs="Arial"/>
                <w:bCs/>
                <w:kern w:val="24"/>
                <w:sz w:val="18"/>
                <w:szCs w:val="18"/>
              </w:rPr>
              <w:t>7</w:t>
            </w:r>
          </w:p>
        </w:tc>
        <w:tc>
          <w:tcPr>
            <w:tcW w:w="1397" w:type="pct"/>
            <w:vMerge w:val="continue"/>
            <w:tcBorders>
              <w:left w:val="single" w:color="000000" w:sz="2" w:space="0"/>
              <w:bottom w:val="single" w:color="000000" w:sz="2" w:space="0"/>
              <w:right w:val="single" w:color="auto" w:sz="4" w:space="0"/>
            </w:tcBorders>
            <w:shd w:val="clear" w:color="auto" w:fill="auto"/>
            <w:tcMar>
              <w:top w:w="15" w:type="dxa"/>
              <w:left w:w="15" w:type="dxa"/>
              <w:bottom w:w="0" w:type="dxa"/>
              <w:right w:w="15" w:type="dxa"/>
            </w:tcMar>
            <w:vAlign w:val="center"/>
          </w:tcPr>
          <w:p>
            <w:pPr>
              <w:widowControl/>
              <w:jc w:val="center"/>
              <w:textAlignment w:val="center"/>
              <w:rPr>
                <w:rFonts w:ascii="Times New Roman" w:hAnsi="Times New Roman" w:eastAsia="宋体" w:cs="Arial"/>
                <w:bCs/>
                <w:kern w:val="24"/>
                <w:sz w:val="18"/>
                <w:szCs w:val="18"/>
              </w:rPr>
            </w:pPr>
          </w:p>
        </w:tc>
        <w:tc>
          <w:tcPr>
            <w:tcW w:w="62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jc w:val="center"/>
              <w:textAlignment w:val="center"/>
              <w:rPr>
                <w:rFonts w:ascii="Times New Roman" w:hAnsi="Times New Roman" w:eastAsia="等线" w:cs="Arial"/>
                <w:bCs/>
                <w:kern w:val="24"/>
                <w:sz w:val="18"/>
                <w:szCs w:val="18"/>
              </w:rPr>
            </w:pPr>
            <w:r>
              <w:rPr>
                <w:rFonts w:hint="eastAsia" w:ascii="Times New Roman" w:hAnsi="Times New Roman" w:eastAsia="等线" w:cs="Arial"/>
                <w:bCs/>
                <w:kern w:val="24"/>
                <w:sz w:val="18"/>
                <w:szCs w:val="18"/>
              </w:rPr>
              <w:t>2015-2016</w:t>
            </w:r>
          </w:p>
        </w:tc>
        <w:tc>
          <w:tcPr>
            <w:tcW w:w="1955" w:type="pct"/>
            <w:tcBorders>
              <w:top w:val="single" w:color="000000" w:sz="2" w:space="0"/>
              <w:left w:val="single" w:color="auto" w:sz="4" w:space="0"/>
              <w:bottom w:val="single" w:color="000000" w:sz="2" w:space="0"/>
              <w:right w:val="single" w:color="000000" w:sz="2" w:space="0"/>
            </w:tcBorders>
            <w:shd w:val="clear" w:color="auto" w:fill="auto"/>
            <w:tcMar>
              <w:top w:w="15" w:type="dxa"/>
              <w:left w:w="15" w:type="dxa"/>
              <w:bottom w:w="0" w:type="dxa"/>
              <w:right w:w="15" w:type="dxa"/>
            </w:tcMar>
            <w:vAlign w:val="center"/>
          </w:tcPr>
          <w:p>
            <w:pPr>
              <w:widowControl/>
              <w:jc w:val="center"/>
              <w:textAlignment w:val="center"/>
              <w:rPr>
                <w:rFonts w:ascii="Times New Roman" w:hAnsi="Times New Roman" w:eastAsia="等线" w:cs="Arial"/>
                <w:bCs/>
                <w:kern w:val="24"/>
                <w:sz w:val="18"/>
                <w:szCs w:val="18"/>
              </w:rPr>
            </w:pPr>
            <w:r>
              <w:rPr>
                <w:rFonts w:ascii="Times New Roman" w:hAnsi="Times New Roman" w:eastAsia="宋体" w:cs="Arial"/>
                <w:bCs/>
                <w:kern w:val="24"/>
                <w:sz w:val="18"/>
                <w:szCs w:val="18"/>
              </w:rPr>
              <w:t>新建三板桥闸</w:t>
            </w:r>
          </w:p>
        </w:tc>
        <w:tc>
          <w:tcPr>
            <w:tcW w:w="739" w:type="pct"/>
            <w:vMerge w:val="continue"/>
            <w:tcBorders>
              <w:left w:val="single" w:color="000000" w:sz="2" w:space="0"/>
              <w:bottom w:val="single" w:color="000000" w:sz="2" w:space="0"/>
              <w:right w:val="single" w:color="000000" w:sz="2" w:space="0"/>
            </w:tcBorders>
            <w:shd w:val="clear" w:color="auto" w:fill="auto"/>
            <w:vAlign w:val="center"/>
          </w:tcPr>
          <w:p>
            <w:pPr>
              <w:widowControl/>
              <w:jc w:val="center"/>
              <w:textAlignment w:val="center"/>
              <w:rPr>
                <w:rFonts w:ascii="Times New Roman" w:hAnsi="Times New Roman" w:eastAsia="等线" w:cs="Arial"/>
                <w:bCs/>
                <w:kern w:val="24"/>
                <w:sz w:val="18"/>
                <w:szCs w:val="18"/>
              </w:rPr>
            </w:pPr>
          </w:p>
        </w:tc>
      </w:tr>
      <w:tr>
        <w:tblPrEx>
          <w:tblCellMar>
            <w:top w:w="0" w:type="dxa"/>
            <w:left w:w="0" w:type="dxa"/>
            <w:bottom w:w="0" w:type="dxa"/>
            <w:right w:w="0" w:type="dxa"/>
          </w:tblCellMar>
        </w:tblPrEx>
        <w:trPr>
          <w:trHeight w:val="397" w:hRule="atLeast"/>
        </w:trPr>
        <w:tc>
          <w:tcPr>
            <w:tcW w:w="289" w:type="pct"/>
            <w:tcBorders>
              <w:top w:val="single" w:color="000000" w:sz="2" w:space="0"/>
              <w:left w:val="single" w:color="000000" w:sz="2" w:space="0"/>
              <w:bottom w:val="single" w:color="000000" w:sz="2" w:space="0"/>
              <w:right w:val="single" w:color="000000" w:sz="2" w:space="0"/>
            </w:tcBorders>
            <w:shd w:val="clear" w:color="auto" w:fill="auto"/>
            <w:tcMar>
              <w:top w:w="15" w:type="dxa"/>
              <w:left w:w="15" w:type="dxa"/>
              <w:bottom w:w="0" w:type="dxa"/>
              <w:right w:w="15" w:type="dxa"/>
            </w:tcMar>
            <w:vAlign w:val="center"/>
          </w:tcPr>
          <w:p>
            <w:pPr>
              <w:widowControl/>
              <w:jc w:val="center"/>
              <w:textAlignment w:val="center"/>
              <w:rPr>
                <w:rFonts w:ascii="Times New Roman" w:hAnsi="Times New Roman" w:eastAsia="宋体" w:cs="Arial"/>
                <w:kern w:val="0"/>
                <w:sz w:val="18"/>
                <w:szCs w:val="18"/>
              </w:rPr>
            </w:pPr>
            <w:r>
              <w:rPr>
                <w:rFonts w:hint="eastAsia" w:ascii="Times New Roman" w:hAnsi="Times New Roman" w:eastAsia="等线" w:cs="Arial"/>
                <w:bCs/>
                <w:kern w:val="24"/>
                <w:sz w:val="18"/>
                <w:szCs w:val="18"/>
              </w:rPr>
              <w:t>8</w:t>
            </w:r>
          </w:p>
        </w:tc>
        <w:tc>
          <w:tcPr>
            <w:tcW w:w="1397" w:type="pct"/>
            <w:tcBorders>
              <w:top w:val="single" w:color="000000" w:sz="2" w:space="0"/>
              <w:left w:val="single" w:color="000000" w:sz="2" w:space="0"/>
              <w:bottom w:val="single" w:color="000000" w:sz="2" w:space="0"/>
              <w:right w:val="single" w:color="000000" w:sz="2" w:space="0"/>
            </w:tcBorders>
            <w:shd w:val="clear" w:color="auto" w:fill="auto"/>
            <w:tcMar>
              <w:top w:w="15" w:type="dxa"/>
              <w:left w:w="15" w:type="dxa"/>
              <w:bottom w:w="0" w:type="dxa"/>
              <w:right w:w="15" w:type="dxa"/>
            </w:tcMar>
            <w:vAlign w:val="center"/>
          </w:tcPr>
          <w:p>
            <w:pPr>
              <w:widowControl/>
              <w:jc w:val="center"/>
              <w:textAlignment w:val="center"/>
              <w:rPr>
                <w:rFonts w:ascii="Times New Roman" w:hAnsi="Times New Roman" w:eastAsia="宋体" w:cs="Arial"/>
                <w:kern w:val="0"/>
                <w:sz w:val="18"/>
                <w:szCs w:val="18"/>
              </w:rPr>
            </w:pPr>
            <w:r>
              <w:rPr>
                <w:rFonts w:ascii="Times New Roman" w:hAnsi="Times New Roman" w:eastAsia="宋体" w:cs="Arial"/>
                <w:bCs/>
                <w:kern w:val="24"/>
                <w:sz w:val="18"/>
                <w:szCs w:val="18"/>
              </w:rPr>
              <w:t>孔浦大闸改造工程</w:t>
            </w:r>
          </w:p>
        </w:tc>
        <w:tc>
          <w:tcPr>
            <w:tcW w:w="621" w:type="pct"/>
            <w:tcBorders>
              <w:top w:val="single" w:color="auto" w:sz="4" w:space="0"/>
              <w:left w:val="single" w:color="000000" w:sz="2" w:space="0"/>
              <w:bottom w:val="single" w:color="000000" w:sz="2" w:space="0"/>
              <w:right w:val="single" w:color="000000" w:sz="2" w:space="0"/>
            </w:tcBorders>
            <w:shd w:val="clear" w:color="auto" w:fill="auto"/>
            <w:tcMar>
              <w:top w:w="15" w:type="dxa"/>
              <w:left w:w="15" w:type="dxa"/>
              <w:bottom w:w="0" w:type="dxa"/>
              <w:right w:w="15" w:type="dxa"/>
            </w:tcMar>
            <w:vAlign w:val="center"/>
          </w:tcPr>
          <w:p>
            <w:pPr>
              <w:widowControl/>
              <w:jc w:val="center"/>
              <w:textAlignment w:val="center"/>
              <w:rPr>
                <w:rFonts w:ascii="Times New Roman" w:hAnsi="Times New Roman" w:eastAsia="宋体" w:cs="Arial"/>
                <w:kern w:val="0"/>
                <w:sz w:val="18"/>
                <w:szCs w:val="18"/>
              </w:rPr>
            </w:pPr>
            <w:r>
              <w:rPr>
                <w:rFonts w:hint="eastAsia" w:ascii="Times New Roman" w:hAnsi="Times New Roman" w:eastAsia="等线" w:cs="Arial"/>
                <w:bCs/>
                <w:kern w:val="24"/>
                <w:sz w:val="18"/>
                <w:szCs w:val="18"/>
              </w:rPr>
              <w:t>2015-2017</w:t>
            </w:r>
          </w:p>
        </w:tc>
        <w:tc>
          <w:tcPr>
            <w:tcW w:w="1955" w:type="pct"/>
            <w:tcBorders>
              <w:top w:val="single" w:color="000000" w:sz="2" w:space="0"/>
              <w:left w:val="single" w:color="000000" w:sz="2" w:space="0"/>
              <w:bottom w:val="single" w:color="000000" w:sz="2" w:space="0"/>
              <w:right w:val="single" w:color="000000" w:sz="2" w:space="0"/>
            </w:tcBorders>
            <w:shd w:val="clear" w:color="auto" w:fill="auto"/>
            <w:tcMar>
              <w:top w:w="15" w:type="dxa"/>
              <w:left w:w="15" w:type="dxa"/>
              <w:bottom w:w="0" w:type="dxa"/>
              <w:right w:w="15" w:type="dxa"/>
            </w:tcMar>
            <w:vAlign w:val="center"/>
          </w:tcPr>
          <w:p>
            <w:pPr>
              <w:widowControl/>
              <w:jc w:val="center"/>
              <w:textAlignment w:val="center"/>
              <w:rPr>
                <w:rFonts w:ascii="Times New Roman" w:hAnsi="Times New Roman" w:eastAsia="宋体" w:cs="Arial"/>
                <w:kern w:val="0"/>
                <w:sz w:val="18"/>
                <w:szCs w:val="18"/>
              </w:rPr>
            </w:pPr>
            <w:r>
              <w:rPr>
                <w:rFonts w:ascii="Times New Roman" w:hAnsi="Times New Roman" w:eastAsia="宋体" w:cs="Arial"/>
                <w:bCs/>
                <w:kern w:val="24"/>
                <w:sz w:val="18"/>
                <w:szCs w:val="18"/>
              </w:rPr>
              <w:t>改建水闸</w:t>
            </w:r>
            <w:r>
              <w:rPr>
                <w:rFonts w:hint="eastAsia" w:ascii="Times New Roman" w:hAnsi="Times New Roman" w:eastAsia="等线" w:cs="Arial"/>
                <w:bCs/>
                <w:kern w:val="24"/>
                <w:sz w:val="18"/>
                <w:szCs w:val="18"/>
              </w:rPr>
              <w:t>1</w:t>
            </w:r>
            <w:r>
              <w:rPr>
                <w:rFonts w:ascii="Times New Roman" w:hAnsi="Times New Roman" w:eastAsia="宋体" w:cs="Arial"/>
                <w:bCs/>
                <w:kern w:val="24"/>
                <w:sz w:val="18"/>
                <w:szCs w:val="18"/>
              </w:rPr>
              <w:t>座，总净宽拓宽至</w:t>
            </w:r>
            <w:r>
              <w:rPr>
                <w:rFonts w:hint="eastAsia" w:ascii="Times New Roman" w:hAnsi="Times New Roman" w:eastAsia="等线" w:cs="Arial"/>
                <w:bCs/>
                <w:kern w:val="24"/>
                <w:sz w:val="18"/>
                <w:szCs w:val="18"/>
              </w:rPr>
              <w:t>21m</w:t>
            </w:r>
            <w:r>
              <w:rPr>
                <w:rFonts w:ascii="Times New Roman" w:hAnsi="Times New Roman" w:eastAsia="宋体" w:cs="Arial"/>
                <w:bCs/>
                <w:kern w:val="24"/>
                <w:sz w:val="18"/>
                <w:szCs w:val="18"/>
              </w:rPr>
              <w:t>；新建泵站</w:t>
            </w:r>
            <w:r>
              <w:rPr>
                <w:rFonts w:hint="eastAsia" w:ascii="Times New Roman" w:hAnsi="Times New Roman" w:eastAsia="等线" w:cs="Arial"/>
                <w:bCs/>
                <w:kern w:val="24"/>
                <w:sz w:val="18"/>
                <w:szCs w:val="18"/>
              </w:rPr>
              <w:t>1</w:t>
            </w:r>
            <w:r>
              <w:rPr>
                <w:rFonts w:ascii="Times New Roman" w:hAnsi="Times New Roman" w:eastAsia="宋体" w:cs="Arial"/>
                <w:bCs/>
                <w:kern w:val="24"/>
                <w:sz w:val="18"/>
                <w:szCs w:val="18"/>
              </w:rPr>
              <w:t>座，设计规模</w:t>
            </w:r>
            <w:r>
              <w:rPr>
                <w:rFonts w:hint="eastAsia" w:ascii="Times New Roman" w:hAnsi="Times New Roman" w:eastAsia="等线" w:cs="Arial"/>
                <w:bCs/>
                <w:kern w:val="24"/>
                <w:sz w:val="18"/>
                <w:szCs w:val="18"/>
              </w:rPr>
              <w:t>40m3/s</w:t>
            </w:r>
          </w:p>
        </w:tc>
        <w:tc>
          <w:tcPr>
            <w:tcW w:w="739" w:type="pct"/>
            <w:tcBorders>
              <w:top w:val="single" w:color="000000" w:sz="2" w:space="0"/>
              <w:left w:val="single" w:color="000000" w:sz="2" w:space="0"/>
              <w:bottom w:val="single" w:color="000000" w:sz="2" w:space="0"/>
              <w:right w:val="single" w:color="000000" w:sz="2" w:space="0"/>
            </w:tcBorders>
            <w:shd w:val="clear" w:color="auto" w:fill="auto"/>
            <w:vAlign w:val="center"/>
          </w:tcPr>
          <w:p>
            <w:pPr>
              <w:widowControl/>
              <w:jc w:val="center"/>
              <w:textAlignment w:val="center"/>
              <w:rPr>
                <w:rFonts w:ascii="Times New Roman" w:hAnsi="Times New Roman" w:eastAsia="宋体" w:cs="Arial"/>
                <w:bCs/>
                <w:kern w:val="24"/>
                <w:sz w:val="18"/>
                <w:szCs w:val="18"/>
              </w:rPr>
            </w:pPr>
            <w:r>
              <w:rPr>
                <w:rFonts w:hint="eastAsia" w:ascii="Times New Roman" w:hAnsi="Times New Roman" w:eastAsia="宋体" w:cs="Arial"/>
                <w:bCs/>
                <w:kern w:val="24"/>
                <w:sz w:val="18"/>
                <w:szCs w:val="18"/>
              </w:rPr>
              <w:t>完工</w:t>
            </w:r>
          </w:p>
        </w:tc>
      </w:tr>
      <w:tr>
        <w:tblPrEx>
          <w:tblCellMar>
            <w:top w:w="0" w:type="dxa"/>
            <w:left w:w="0" w:type="dxa"/>
            <w:bottom w:w="0" w:type="dxa"/>
            <w:right w:w="0" w:type="dxa"/>
          </w:tblCellMar>
        </w:tblPrEx>
        <w:trPr>
          <w:trHeight w:val="397" w:hRule="atLeast"/>
        </w:trPr>
        <w:tc>
          <w:tcPr>
            <w:tcW w:w="289" w:type="pct"/>
            <w:tcBorders>
              <w:top w:val="single" w:color="000000" w:sz="2" w:space="0"/>
              <w:left w:val="single" w:color="000000" w:sz="2" w:space="0"/>
              <w:bottom w:val="single" w:color="000000" w:sz="2" w:space="0"/>
              <w:right w:val="single" w:color="000000" w:sz="2" w:space="0"/>
            </w:tcBorders>
            <w:shd w:val="clear" w:color="auto" w:fill="auto"/>
            <w:tcMar>
              <w:top w:w="15" w:type="dxa"/>
              <w:left w:w="15" w:type="dxa"/>
              <w:bottom w:w="0" w:type="dxa"/>
              <w:right w:w="15" w:type="dxa"/>
            </w:tcMar>
            <w:vAlign w:val="center"/>
          </w:tcPr>
          <w:p>
            <w:pPr>
              <w:widowControl/>
              <w:jc w:val="center"/>
              <w:textAlignment w:val="center"/>
              <w:rPr>
                <w:rFonts w:ascii="Times New Roman" w:hAnsi="Times New Roman" w:eastAsia="宋体" w:cs="Arial"/>
                <w:kern w:val="0"/>
                <w:sz w:val="18"/>
                <w:szCs w:val="18"/>
              </w:rPr>
            </w:pPr>
            <w:r>
              <w:rPr>
                <w:rFonts w:hint="eastAsia" w:ascii="Times New Roman" w:hAnsi="Times New Roman" w:eastAsia="等线" w:cs="Arial"/>
                <w:bCs/>
                <w:kern w:val="24"/>
                <w:sz w:val="18"/>
                <w:szCs w:val="18"/>
              </w:rPr>
              <w:t>9</w:t>
            </w:r>
          </w:p>
        </w:tc>
        <w:tc>
          <w:tcPr>
            <w:tcW w:w="1397" w:type="pct"/>
            <w:tcBorders>
              <w:top w:val="single" w:color="000000" w:sz="2" w:space="0"/>
              <w:left w:val="single" w:color="000000" w:sz="2" w:space="0"/>
              <w:bottom w:val="single" w:color="000000" w:sz="2" w:space="0"/>
              <w:right w:val="single" w:color="000000" w:sz="2" w:space="0"/>
            </w:tcBorders>
            <w:shd w:val="clear" w:color="auto" w:fill="auto"/>
            <w:tcMar>
              <w:top w:w="15" w:type="dxa"/>
              <w:left w:w="15" w:type="dxa"/>
              <w:bottom w:w="0" w:type="dxa"/>
              <w:right w:w="15" w:type="dxa"/>
            </w:tcMar>
            <w:vAlign w:val="center"/>
          </w:tcPr>
          <w:p>
            <w:pPr>
              <w:widowControl/>
              <w:jc w:val="center"/>
              <w:textAlignment w:val="center"/>
              <w:rPr>
                <w:rFonts w:ascii="Times New Roman" w:hAnsi="Times New Roman" w:eastAsia="宋体" w:cs="Arial"/>
                <w:kern w:val="0"/>
                <w:sz w:val="18"/>
                <w:szCs w:val="18"/>
              </w:rPr>
            </w:pPr>
            <w:r>
              <w:rPr>
                <w:rFonts w:ascii="Times New Roman" w:hAnsi="Times New Roman" w:eastAsia="宋体" w:cs="Arial"/>
                <w:bCs/>
                <w:kern w:val="24"/>
                <w:sz w:val="18"/>
                <w:szCs w:val="18"/>
              </w:rPr>
              <w:t>郭塘整治工程</w:t>
            </w:r>
          </w:p>
        </w:tc>
        <w:tc>
          <w:tcPr>
            <w:tcW w:w="621" w:type="pct"/>
            <w:tcBorders>
              <w:top w:val="single" w:color="000000" w:sz="2" w:space="0"/>
              <w:left w:val="single" w:color="000000" w:sz="2" w:space="0"/>
              <w:bottom w:val="single" w:color="000000" w:sz="2" w:space="0"/>
              <w:right w:val="single" w:color="000000" w:sz="2" w:space="0"/>
            </w:tcBorders>
            <w:shd w:val="clear" w:color="auto" w:fill="auto"/>
            <w:tcMar>
              <w:top w:w="15" w:type="dxa"/>
              <w:left w:w="15" w:type="dxa"/>
              <w:bottom w:w="0" w:type="dxa"/>
              <w:right w:w="15" w:type="dxa"/>
            </w:tcMar>
            <w:vAlign w:val="center"/>
          </w:tcPr>
          <w:p>
            <w:pPr>
              <w:widowControl/>
              <w:jc w:val="center"/>
              <w:textAlignment w:val="center"/>
              <w:rPr>
                <w:rFonts w:ascii="Times New Roman" w:hAnsi="Times New Roman" w:eastAsia="宋体" w:cs="Arial"/>
                <w:kern w:val="0"/>
                <w:sz w:val="18"/>
                <w:szCs w:val="18"/>
              </w:rPr>
            </w:pPr>
            <w:r>
              <w:rPr>
                <w:rFonts w:hint="eastAsia" w:ascii="Times New Roman" w:hAnsi="Times New Roman" w:eastAsia="等线" w:cs="Arial"/>
                <w:bCs/>
                <w:kern w:val="24"/>
                <w:sz w:val="18"/>
                <w:szCs w:val="18"/>
              </w:rPr>
              <w:t>2015-2016</w:t>
            </w:r>
          </w:p>
        </w:tc>
        <w:tc>
          <w:tcPr>
            <w:tcW w:w="1955" w:type="pct"/>
            <w:tcBorders>
              <w:top w:val="single" w:color="000000" w:sz="2" w:space="0"/>
              <w:left w:val="single" w:color="000000" w:sz="2" w:space="0"/>
              <w:bottom w:val="single" w:color="000000" w:sz="2" w:space="0"/>
              <w:right w:val="single" w:color="000000" w:sz="2" w:space="0"/>
            </w:tcBorders>
            <w:shd w:val="clear" w:color="auto" w:fill="auto"/>
            <w:tcMar>
              <w:top w:w="15" w:type="dxa"/>
              <w:left w:w="15" w:type="dxa"/>
              <w:bottom w:w="0" w:type="dxa"/>
              <w:right w:w="15" w:type="dxa"/>
            </w:tcMar>
            <w:vAlign w:val="center"/>
          </w:tcPr>
          <w:p>
            <w:pPr>
              <w:widowControl/>
              <w:jc w:val="center"/>
              <w:textAlignment w:val="center"/>
              <w:rPr>
                <w:rFonts w:ascii="Times New Roman" w:hAnsi="Times New Roman" w:eastAsia="宋体" w:cs="Arial"/>
                <w:kern w:val="0"/>
                <w:sz w:val="18"/>
                <w:szCs w:val="18"/>
              </w:rPr>
            </w:pPr>
            <w:r>
              <w:rPr>
                <w:rFonts w:ascii="Times New Roman" w:hAnsi="Times New Roman" w:eastAsia="宋体" w:cs="Arial"/>
                <w:bCs/>
                <w:kern w:val="24"/>
                <w:sz w:val="18"/>
                <w:szCs w:val="18"/>
              </w:rPr>
              <w:t>综合整治河道</w:t>
            </w:r>
            <w:r>
              <w:rPr>
                <w:rFonts w:hint="eastAsia" w:ascii="Times New Roman" w:hAnsi="Times New Roman" w:eastAsia="等线" w:cs="Arial"/>
                <w:bCs/>
                <w:kern w:val="24"/>
                <w:sz w:val="18"/>
                <w:szCs w:val="18"/>
              </w:rPr>
              <w:t>4.9</w:t>
            </w:r>
            <w:r>
              <w:rPr>
                <w:rFonts w:ascii="Times New Roman" w:hAnsi="Times New Roman" w:eastAsia="宋体" w:cs="Arial"/>
                <w:bCs/>
                <w:kern w:val="24"/>
                <w:sz w:val="18"/>
                <w:szCs w:val="18"/>
              </w:rPr>
              <w:t>公里</w:t>
            </w:r>
          </w:p>
        </w:tc>
        <w:tc>
          <w:tcPr>
            <w:tcW w:w="739" w:type="pct"/>
            <w:tcBorders>
              <w:top w:val="single" w:color="000000" w:sz="2" w:space="0"/>
              <w:left w:val="single" w:color="000000" w:sz="2" w:space="0"/>
              <w:bottom w:val="single" w:color="000000" w:sz="2" w:space="0"/>
              <w:right w:val="single" w:color="000000" w:sz="2" w:space="0"/>
            </w:tcBorders>
            <w:shd w:val="clear" w:color="auto" w:fill="auto"/>
            <w:vAlign w:val="center"/>
          </w:tcPr>
          <w:p>
            <w:pPr>
              <w:widowControl/>
              <w:jc w:val="center"/>
              <w:textAlignment w:val="center"/>
              <w:rPr>
                <w:rFonts w:ascii="Times New Roman" w:hAnsi="Times New Roman" w:eastAsia="宋体" w:cs="Arial"/>
                <w:bCs/>
                <w:kern w:val="24"/>
                <w:sz w:val="18"/>
                <w:szCs w:val="18"/>
              </w:rPr>
            </w:pPr>
            <w:r>
              <w:rPr>
                <w:rFonts w:hint="eastAsia" w:ascii="Times New Roman" w:hAnsi="Times New Roman" w:eastAsia="宋体" w:cs="Arial"/>
                <w:bCs/>
                <w:kern w:val="24"/>
                <w:sz w:val="18"/>
                <w:szCs w:val="18"/>
              </w:rPr>
              <w:t>完工</w:t>
            </w:r>
          </w:p>
        </w:tc>
      </w:tr>
      <w:tr>
        <w:tblPrEx>
          <w:tblCellMar>
            <w:top w:w="0" w:type="dxa"/>
            <w:left w:w="0" w:type="dxa"/>
            <w:bottom w:w="0" w:type="dxa"/>
            <w:right w:w="0" w:type="dxa"/>
          </w:tblCellMar>
        </w:tblPrEx>
        <w:trPr>
          <w:trHeight w:val="397" w:hRule="atLeast"/>
        </w:trPr>
        <w:tc>
          <w:tcPr>
            <w:tcW w:w="289" w:type="pct"/>
            <w:tcBorders>
              <w:top w:val="single" w:color="000000" w:sz="2" w:space="0"/>
              <w:left w:val="single" w:color="000000" w:sz="2" w:space="0"/>
              <w:bottom w:val="single" w:color="000000" w:sz="2" w:space="0"/>
              <w:right w:val="single" w:color="000000" w:sz="2" w:space="0"/>
            </w:tcBorders>
            <w:shd w:val="clear" w:color="auto" w:fill="auto"/>
            <w:tcMar>
              <w:top w:w="15" w:type="dxa"/>
              <w:left w:w="15" w:type="dxa"/>
              <w:bottom w:w="0" w:type="dxa"/>
              <w:right w:w="15" w:type="dxa"/>
            </w:tcMar>
            <w:vAlign w:val="center"/>
          </w:tcPr>
          <w:p>
            <w:pPr>
              <w:widowControl/>
              <w:jc w:val="center"/>
              <w:textAlignment w:val="center"/>
              <w:rPr>
                <w:rFonts w:ascii="Times New Roman" w:hAnsi="Times New Roman" w:eastAsia="宋体" w:cs="Arial"/>
                <w:kern w:val="0"/>
                <w:sz w:val="18"/>
                <w:szCs w:val="18"/>
              </w:rPr>
            </w:pPr>
            <w:r>
              <w:rPr>
                <w:rFonts w:ascii="Times New Roman" w:hAnsi="Times New Roman" w:eastAsia="等线" w:cs="Arial"/>
                <w:bCs/>
                <w:kern w:val="24"/>
                <w:sz w:val="18"/>
                <w:szCs w:val="18"/>
              </w:rPr>
              <w:t>10</w:t>
            </w:r>
          </w:p>
        </w:tc>
        <w:tc>
          <w:tcPr>
            <w:tcW w:w="1397" w:type="pct"/>
            <w:tcBorders>
              <w:top w:val="single" w:color="000000" w:sz="2" w:space="0"/>
              <w:left w:val="single" w:color="000000" w:sz="2" w:space="0"/>
              <w:bottom w:val="single" w:color="000000" w:sz="2" w:space="0"/>
              <w:right w:val="single" w:color="000000" w:sz="2" w:space="0"/>
            </w:tcBorders>
            <w:shd w:val="clear" w:color="auto" w:fill="auto"/>
            <w:tcMar>
              <w:top w:w="15" w:type="dxa"/>
              <w:left w:w="15" w:type="dxa"/>
              <w:bottom w:w="0" w:type="dxa"/>
              <w:right w:w="15" w:type="dxa"/>
            </w:tcMar>
            <w:vAlign w:val="center"/>
          </w:tcPr>
          <w:p>
            <w:pPr>
              <w:widowControl/>
              <w:jc w:val="center"/>
              <w:textAlignment w:val="center"/>
              <w:rPr>
                <w:rFonts w:ascii="Times New Roman" w:hAnsi="Times New Roman" w:eastAsia="宋体" w:cs="Arial"/>
                <w:kern w:val="0"/>
                <w:sz w:val="18"/>
                <w:szCs w:val="18"/>
              </w:rPr>
            </w:pPr>
            <w:r>
              <w:rPr>
                <w:rFonts w:ascii="Times New Roman" w:hAnsi="Times New Roman" w:eastAsia="宋体" w:cs="Arial"/>
                <w:bCs/>
                <w:kern w:val="24"/>
                <w:sz w:val="18"/>
                <w:szCs w:val="18"/>
              </w:rPr>
              <w:t>东大河整治工程</w:t>
            </w:r>
          </w:p>
        </w:tc>
        <w:tc>
          <w:tcPr>
            <w:tcW w:w="621" w:type="pct"/>
            <w:tcBorders>
              <w:top w:val="single" w:color="000000" w:sz="2" w:space="0"/>
              <w:left w:val="single" w:color="000000" w:sz="2" w:space="0"/>
              <w:bottom w:val="single" w:color="000000" w:sz="2" w:space="0"/>
              <w:right w:val="single" w:color="000000" w:sz="2" w:space="0"/>
            </w:tcBorders>
            <w:shd w:val="clear" w:color="auto" w:fill="auto"/>
            <w:tcMar>
              <w:top w:w="15" w:type="dxa"/>
              <w:left w:w="15" w:type="dxa"/>
              <w:bottom w:w="0" w:type="dxa"/>
              <w:right w:w="15" w:type="dxa"/>
            </w:tcMar>
            <w:vAlign w:val="center"/>
          </w:tcPr>
          <w:p>
            <w:pPr>
              <w:widowControl/>
              <w:jc w:val="center"/>
              <w:textAlignment w:val="center"/>
              <w:rPr>
                <w:rFonts w:ascii="Times New Roman" w:hAnsi="Times New Roman" w:eastAsia="宋体" w:cs="Arial"/>
                <w:kern w:val="0"/>
                <w:sz w:val="18"/>
                <w:szCs w:val="18"/>
              </w:rPr>
            </w:pPr>
            <w:r>
              <w:rPr>
                <w:rFonts w:hint="eastAsia" w:ascii="Times New Roman" w:hAnsi="Times New Roman" w:eastAsia="等线" w:cs="Arial"/>
                <w:bCs/>
                <w:kern w:val="24"/>
                <w:sz w:val="18"/>
                <w:szCs w:val="18"/>
              </w:rPr>
              <w:t>2018-2019</w:t>
            </w:r>
          </w:p>
        </w:tc>
        <w:tc>
          <w:tcPr>
            <w:tcW w:w="1955" w:type="pct"/>
            <w:tcBorders>
              <w:top w:val="single" w:color="000000" w:sz="2" w:space="0"/>
              <w:left w:val="single" w:color="000000" w:sz="2" w:space="0"/>
              <w:bottom w:val="single" w:color="000000" w:sz="2" w:space="0"/>
              <w:right w:val="single" w:color="000000" w:sz="2" w:space="0"/>
            </w:tcBorders>
            <w:shd w:val="clear" w:color="auto" w:fill="auto"/>
            <w:tcMar>
              <w:top w:w="15" w:type="dxa"/>
              <w:left w:w="15" w:type="dxa"/>
              <w:bottom w:w="0" w:type="dxa"/>
              <w:right w:w="15" w:type="dxa"/>
            </w:tcMar>
            <w:vAlign w:val="center"/>
          </w:tcPr>
          <w:p>
            <w:pPr>
              <w:widowControl/>
              <w:jc w:val="center"/>
              <w:textAlignment w:val="center"/>
              <w:rPr>
                <w:rFonts w:ascii="Times New Roman" w:hAnsi="Times New Roman" w:eastAsia="宋体" w:cs="Arial"/>
                <w:kern w:val="0"/>
                <w:sz w:val="18"/>
                <w:szCs w:val="18"/>
              </w:rPr>
            </w:pPr>
            <w:r>
              <w:rPr>
                <w:rFonts w:hint="eastAsia" w:ascii="Times New Roman" w:hAnsi="Times New Roman" w:eastAsia="等线" w:cs="Arial"/>
                <w:bCs/>
                <w:kern w:val="24"/>
                <w:sz w:val="18"/>
                <w:szCs w:val="18"/>
              </w:rPr>
              <w:t>6</w:t>
            </w:r>
            <w:r>
              <w:rPr>
                <w:rFonts w:ascii="Times New Roman" w:hAnsi="Times New Roman" w:eastAsia="宋体" w:cs="Arial"/>
                <w:bCs/>
                <w:kern w:val="24"/>
                <w:sz w:val="18"/>
                <w:szCs w:val="18"/>
              </w:rPr>
              <w:t>公里河道综合整治</w:t>
            </w:r>
          </w:p>
        </w:tc>
        <w:tc>
          <w:tcPr>
            <w:tcW w:w="739" w:type="pct"/>
            <w:tcBorders>
              <w:top w:val="single" w:color="000000" w:sz="2" w:space="0"/>
              <w:left w:val="single" w:color="000000" w:sz="2" w:space="0"/>
              <w:bottom w:val="single" w:color="000000" w:sz="2" w:space="0"/>
              <w:right w:val="single" w:color="000000" w:sz="2" w:space="0"/>
            </w:tcBorders>
            <w:shd w:val="clear" w:color="auto" w:fill="auto"/>
            <w:vAlign w:val="center"/>
          </w:tcPr>
          <w:p>
            <w:pPr>
              <w:widowControl/>
              <w:jc w:val="center"/>
              <w:textAlignment w:val="center"/>
              <w:rPr>
                <w:rFonts w:ascii="Times New Roman" w:hAnsi="Times New Roman" w:eastAsia="等线" w:cs="Arial"/>
                <w:bCs/>
                <w:kern w:val="24"/>
                <w:sz w:val="18"/>
                <w:szCs w:val="18"/>
              </w:rPr>
            </w:pPr>
            <w:r>
              <w:rPr>
                <w:rFonts w:hint="eastAsia" w:ascii="Times New Roman" w:hAnsi="Times New Roman" w:eastAsia="等线" w:cs="Arial"/>
                <w:bCs/>
                <w:kern w:val="24"/>
                <w:sz w:val="18"/>
                <w:szCs w:val="18"/>
              </w:rPr>
              <w:t>未实施</w:t>
            </w:r>
          </w:p>
        </w:tc>
      </w:tr>
    </w:tbl>
    <w:p>
      <w:pPr>
        <w:pStyle w:val="3"/>
        <w:spacing w:before="312" w:beforeLines="100" w:after="312" w:afterLines="100" w:line="580" w:lineRule="exact"/>
        <w:jc w:val="center"/>
        <w:rPr>
          <w:rFonts w:ascii="Times New Roman" w:hAnsi="Times New Roman" w:cstheme="minorBidi"/>
          <w:b w:val="0"/>
          <w:bCs w:val="0"/>
          <w:szCs w:val="24"/>
        </w:rPr>
      </w:pPr>
      <w:bookmarkStart w:id="2" w:name="_Toc16023"/>
      <w:r>
        <w:rPr>
          <w:rFonts w:hint="eastAsia" w:ascii="Times New Roman" w:hAnsi="Times New Roman" w:cstheme="minorBidi"/>
          <w:b w:val="0"/>
          <w:bCs w:val="0"/>
          <w:szCs w:val="24"/>
        </w:rPr>
        <w:t>第二节 “十四五”水利发展面临新形势</w:t>
      </w:r>
      <w:bookmarkEnd w:id="2"/>
    </w:p>
    <w:p>
      <w:pPr>
        <w:spacing w:before="156" w:beforeLines="50" w:after="156" w:afterLines="50" w:line="580" w:lineRule="exact"/>
        <w:outlineLvl w:val="2"/>
        <w:rPr>
          <w:rFonts w:ascii="Times New Roman" w:hAnsi="Times New Roman" w:eastAsia="仿宋_GB2312" w:cs="仿宋_GB2312"/>
          <w:b/>
          <w:sz w:val="32"/>
          <w:szCs w:val="32"/>
        </w:rPr>
      </w:pPr>
      <w:r>
        <w:rPr>
          <w:rFonts w:hint="eastAsia" w:ascii="Times New Roman" w:hAnsi="Times New Roman" w:eastAsia="仿宋_GB2312" w:cs="仿宋_GB2312"/>
          <w:b/>
          <w:sz w:val="32"/>
          <w:szCs w:val="32"/>
        </w:rPr>
        <w:t>一、社会经济发展全面进入高质量发展阶段</w:t>
      </w:r>
    </w:p>
    <w:p>
      <w:pPr>
        <w:spacing w:line="58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党的“十九大”提出中国特色社会主义进入新时代，我国经济已由高速增长阶段转向高质量发展阶段。浙江省第十四次党代会提出“两个高水平”谱写浙江新篇章；全力打好高质量发展组合拳。宁波市第十五届代表大会明确提出，坚持“八八战略”再深化、改革开放再出发，不忘初心、牢记使命，干在实处、走在前列、勇立潮头，继续唱好“双城记”，奋发有为当好浙江建设“重要窗口”的模范生，为全国全省大局作出更大贡献。十四五时期，是宁波开启“高水平建设社会主义现代化”新征程的开局起步期，深入落实新时期治水思路，更好满足人民群众对防洪安全、优质水资源、健康水生态、宜居水环境、先进水文化的需求，为宁波“高水平、高质量发展”、“重要窗口”模范生提供可靠的水安全保障。</w:t>
      </w:r>
    </w:p>
    <w:p>
      <w:pPr>
        <w:spacing w:before="156" w:beforeLines="50" w:after="156" w:afterLines="50" w:line="580" w:lineRule="exact"/>
        <w:outlineLvl w:val="2"/>
        <w:rPr>
          <w:rFonts w:ascii="Times New Roman" w:hAnsi="Times New Roman" w:eastAsia="仿宋_GB2312" w:cs="仿宋_GB2312"/>
          <w:b/>
          <w:sz w:val="32"/>
          <w:szCs w:val="32"/>
        </w:rPr>
      </w:pPr>
      <w:r>
        <w:rPr>
          <w:rFonts w:hint="eastAsia" w:ascii="Times New Roman" w:hAnsi="Times New Roman" w:eastAsia="仿宋_GB2312" w:cs="仿宋_GB2312"/>
          <w:b/>
          <w:sz w:val="32"/>
          <w:szCs w:val="32"/>
        </w:rPr>
        <w:t>二、水利行业发展面临高标准、高质量的要求</w:t>
      </w:r>
    </w:p>
    <w:p>
      <w:pPr>
        <w:spacing w:line="58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紧紧围绕“两个高水平”、“四个强省”、“六个浙江”目标导向，聚集省、部水利改革发展总基调，学习把握《浙江省水利高质量发展行动计划》、《浙江省水安全保障规划》等相关要求，提出至2025年“打造水利高质量发展示范省”，基本建成布局合理、功能完善、适度超前的水利基础设施网络和法制健全、管控有力、智能高效的水治理体系，构建高标准防洪保安网、高水平水资源配置网、高品质幸福河湖网、高效能智慧水利网，基本建成与浙江经济社会发展适应的水安全保障体系及现代水治理体系。</w:t>
      </w:r>
    </w:p>
    <w:p>
      <w:pPr>
        <w:spacing w:before="156" w:beforeLines="50" w:after="156" w:afterLines="50" w:line="580" w:lineRule="exact"/>
        <w:outlineLvl w:val="2"/>
        <w:rPr>
          <w:rFonts w:ascii="Times New Roman" w:hAnsi="Times New Roman" w:eastAsia="仿宋_GB2312" w:cs="仿宋_GB2312"/>
          <w:b/>
          <w:sz w:val="32"/>
          <w:szCs w:val="32"/>
        </w:rPr>
      </w:pPr>
      <w:r>
        <w:rPr>
          <w:rFonts w:hint="eastAsia" w:ascii="Times New Roman" w:hAnsi="Times New Roman" w:eastAsia="仿宋_GB2312" w:cs="仿宋_GB2312"/>
          <w:b/>
          <w:sz w:val="32"/>
          <w:szCs w:val="32"/>
        </w:rPr>
        <w:t>三、江北新时期发展战略对水利发展提出了更高水平的要求</w:t>
      </w:r>
    </w:p>
    <w:p>
      <w:pPr>
        <w:spacing w:line="58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根据《宁波市江北区国土空间总体规划（2020~2035）》、《宁波市江北区国民经济和社会发展第十四个五年规划基本思路》等城市发展规划，今后五年江北区经济社会要开启高水平建设社会主义现代化的新征程，智创赋能活力区、拥江发展引领区、城乡融合标杆区三区基本建成，国际化中心城区核心功能和战略地位进一步提升，并聚焦“高质量发展、高效能治理、高品质生活”，聚力“数创赋能活力区、拥江发展引领区、城乡融合标杆区、改革开放先行区、美好生活均衡区”建设，全领域推进“五化联动、五区共建”。全面打造“创智之城，和美江北”，努力在宁波当好浙江建设“重要窗口”模范生中争创实践样板，加快形成十项具有江北特色的标志性成果。因此新时期江北区“以水兴城、水城融合”的城市发展建设对“安全、生态、品质”等水利基础保障提出了更高水平的要求。</w:t>
      </w:r>
    </w:p>
    <w:p>
      <w:pPr>
        <w:pStyle w:val="3"/>
        <w:spacing w:before="312" w:beforeLines="100" w:after="312" w:afterLines="100" w:line="580" w:lineRule="exact"/>
        <w:jc w:val="center"/>
        <w:rPr>
          <w:rFonts w:ascii="Times New Roman" w:hAnsi="Times New Roman" w:cstheme="minorBidi"/>
          <w:b w:val="0"/>
          <w:bCs w:val="0"/>
          <w:szCs w:val="24"/>
        </w:rPr>
      </w:pPr>
      <w:bookmarkStart w:id="3" w:name="_Toc3001"/>
      <w:r>
        <w:rPr>
          <w:rFonts w:hint="eastAsia" w:ascii="Times New Roman" w:hAnsi="Times New Roman" w:cstheme="minorBidi"/>
          <w:b w:val="0"/>
          <w:bCs w:val="0"/>
          <w:szCs w:val="24"/>
        </w:rPr>
        <w:t>第三节 水利发展存在的问题</w:t>
      </w:r>
      <w:bookmarkEnd w:id="3"/>
    </w:p>
    <w:p>
      <w:pPr>
        <w:spacing w:before="156" w:beforeLines="50" w:after="156" w:afterLines="50" w:line="580" w:lineRule="exact"/>
        <w:outlineLvl w:val="2"/>
        <w:rPr>
          <w:rFonts w:ascii="Times New Roman" w:hAnsi="Times New Roman" w:eastAsia="仿宋_GB2312" w:cs="仿宋_GB2312"/>
          <w:b/>
          <w:sz w:val="32"/>
          <w:szCs w:val="32"/>
        </w:rPr>
      </w:pPr>
      <w:r>
        <w:rPr>
          <w:rFonts w:hint="eastAsia" w:ascii="Times New Roman" w:hAnsi="Times New Roman" w:eastAsia="仿宋_GB2312" w:cs="仿宋_GB2312"/>
          <w:b/>
          <w:sz w:val="32"/>
          <w:szCs w:val="32"/>
        </w:rPr>
        <w:t>一、防洪减灾体系仍存在薄弱短板，区域涝水滞蓄空间明显不足</w:t>
      </w:r>
    </w:p>
    <w:p>
      <w:pPr>
        <w:spacing w:line="58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目前江北区防洪体系仍存在薄弱短板，姚江干流尚未全面封闭，湾头段尚未整治，甬江干流堤防年代久远，防护压力大；在平原排涝方面，随着江北区近几年城市化进程的不断加快，城市建成区面积在稳步增加，不断挤占原有河道空间，江北区现状河网水面率仅4.08%，平原涝水滞蓄空间相对偏少；平原河道未系统整治，仍存在多处卡口，同时受外江顶托，区域涝水依靠闸泵外排的能力有限；慈城镇、洪塘及庄桥街道等已建城镇局部低洼地块受涝严重，现状排涝能力仍相对较弱。</w:t>
      </w:r>
    </w:p>
    <w:p>
      <w:pPr>
        <w:spacing w:before="156" w:beforeLines="50" w:after="156" w:afterLines="50" w:line="580" w:lineRule="exact"/>
        <w:outlineLvl w:val="2"/>
        <w:rPr>
          <w:rFonts w:ascii="Times New Roman" w:hAnsi="Times New Roman" w:eastAsia="仿宋_GB2312" w:cs="仿宋_GB2312"/>
          <w:b/>
          <w:sz w:val="32"/>
          <w:szCs w:val="32"/>
        </w:rPr>
      </w:pPr>
      <w:r>
        <w:rPr>
          <w:rFonts w:hint="eastAsia" w:ascii="Times New Roman" w:hAnsi="Times New Roman" w:eastAsia="仿宋_GB2312" w:cs="仿宋_GB2312"/>
          <w:b/>
          <w:sz w:val="32"/>
          <w:szCs w:val="32"/>
        </w:rPr>
        <w:t>二、水生态环境保护工作任重道远，滨水空间价值尚未有效发挥</w:t>
      </w:r>
    </w:p>
    <w:p>
      <w:pPr>
        <w:spacing w:line="58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江北区水生态环境持续改善，但水环境污染问题客观存在，城市生活污水收集处理率不高，农业面源污染难以有效控制，初期雨水污染未有效解决，造成河道水污染问题仍较突出。另一方面平原河网引配水总量有限，目前江北区以姚江为主要引水水源，通过姚江北岸引水泵站自姚江引水，现状年均引水量0.37亿m</w:t>
      </w:r>
      <w:r>
        <w:rPr>
          <w:rFonts w:hint="eastAsia" w:ascii="Times New Roman" w:hAnsi="Times New Roman" w:eastAsia="仿宋_GB2312" w:cs="仿宋_GB2312"/>
          <w:sz w:val="32"/>
          <w:szCs w:val="32"/>
          <w:vertAlign w:val="superscript"/>
        </w:rPr>
        <w:t>3</w:t>
      </w:r>
      <w:r>
        <w:rPr>
          <w:rFonts w:hint="eastAsia" w:ascii="Times New Roman" w:hAnsi="Times New Roman" w:eastAsia="仿宋_GB2312" w:cs="仿宋_GB2312"/>
          <w:sz w:val="32"/>
          <w:szCs w:val="32"/>
        </w:rPr>
        <w:t>，一年换水频率仅2次左右，而现状水系分布以南北向为主，缺少东西向配水主动脉，现状引配水效率不高。同时水脏、水浑现象时有发生，“水生态空间萎缩、水生态功能退化”问题突出，滨水空间价值未得到有效发挥。</w:t>
      </w:r>
    </w:p>
    <w:p>
      <w:pPr>
        <w:spacing w:before="156" w:beforeLines="50" w:after="156" w:afterLines="50" w:line="580" w:lineRule="exact"/>
        <w:outlineLvl w:val="2"/>
        <w:rPr>
          <w:rFonts w:ascii="Times New Roman" w:hAnsi="Times New Roman" w:eastAsia="仿宋_GB2312" w:cs="仿宋_GB2312"/>
          <w:b/>
          <w:sz w:val="32"/>
          <w:szCs w:val="32"/>
        </w:rPr>
      </w:pPr>
      <w:r>
        <w:rPr>
          <w:rFonts w:hint="eastAsia" w:ascii="Times New Roman" w:hAnsi="Times New Roman" w:eastAsia="仿宋_GB2312" w:cs="仿宋_GB2312"/>
          <w:b/>
          <w:sz w:val="32"/>
          <w:szCs w:val="32"/>
        </w:rPr>
        <w:t>三、水文化遗产保护与修复力度不足，“水”品牌的核心价值及竞争力有待提升</w:t>
      </w:r>
    </w:p>
    <w:p>
      <w:pPr>
        <w:spacing w:line="58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江北区水文化悠久，遗产丰富，姚江沿线分布着城山渡、小西坝等古水利文化遗产，慈江两岸的慈城古城熠熠生辉。是全国首个“中国慈孝文化之乡”，宁波城市的发祥地，共有文物保护单位点185处，“慈江、刹子港（官山河）、姚江、甬江”中国大运河文化资源丰富。然而江北区对已有文化遗产缺乏充分的品牌价值挖掘，尚未对水文化元素进行系统整合以及水文化载体的建设，致使公众对江北区水文化认知程度不够，对“水兴城”的理解模糊，水文化建设步伐亟待加快推进。</w:t>
      </w:r>
    </w:p>
    <w:p>
      <w:pPr>
        <w:spacing w:before="156" w:beforeLines="50" w:after="156" w:afterLines="50" w:line="580" w:lineRule="exact"/>
        <w:outlineLvl w:val="2"/>
        <w:rPr>
          <w:rFonts w:ascii="Times New Roman" w:hAnsi="Times New Roman" w:eastAsia="仿宋_GB2312" w:cs="仿宋_GB2312"/>
          <w:b/>
          <w:sz w:val="32"/>
          <w:szCs w:val="32"/>
        </w:rPr>
      </w:pPr>
      <w:r>
        <w:rPr>
          <w:rFonts w:hint="eastAsia" w:ascii="Times New Roman" w:hAnsi="Times New Roman" w:eastAsia="仿宋_GB2312" w:cs="仿宋_GB2312"/>
          <w:b/>
          <w:sz w:val="32"/>
          <w:szCs w:val="32"/>
        </w:rPr>
        <w:t>四、水利基层管理效率有待提高，专业化人才伍需进一步加强</w:t>
      </w:r>
    </w:p>
    <w:p>
      <w:pPr>
        <w:spacing w:line="58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江北区农业农村局需负责管理区内的所有水利工程设施、水域及其岸线的管理与保护，但目前下设管理机构仅为慈江灌区管理服务站，管理范围仅涉及慈江沿线的慈城镇、洪塘街道及庄桥街道；姚江及甬江沿线分布着19座闸站，目前仅有4个闸站纳入工程集控中心的管理，其余闸站处于外包管理状态，尚未纳入集中管控，管理效率不高。江北区农业农村局负责水利方向的队伍人数相比于其他水利行政主管部门较少，而具备现代化思维、水利现代化建设专业知识的人才更少，有待进一步提升水利现代化队伍的数量与质量。</w:t>
      </w:r>
    </w:p>
    <w:p>
      <w:pPr>
        <w:spacing w:line="580" w:lineRule="exact"/>
        <w:ind w:firstLine="640" w:firstLineChars="200"/>
        <w:rPr>
          <w:rFonts w:ascii="Times New Roman" w:hAnsi="Times New Roman" w:eastAsia="仿宋_GB2312" w:cs="仿宋_GB2312"/>
          <w:sz w:val="32"/>
          <w:szCs w:val="32"/>
        </w:rPr>
        <w:sectPr>
          <w:headerReference r:id="rId7" w:type="default"/>
          <w:footerReference r:id="rId8" w:type="default"/>
          <w:pgSz w:w="11906" w:h="16838"/>
          <w:pgMar w:top="1440" w:right="1800" w:bottom="1440" w:left="1800" w:header="851" w:footer="992" w:gutter="0"/>
          <w:pgNumType w:fmt="numberInDash" w:start="1"/>
          <w:cols w:space="425" w:num="1"/>
          <w:docGrid w:type="lines" w:linePitch="312" w:charSpace="0"/>
        </w:sectPr>
      </w:pPr>
    </w:p>
    <w:p>
      <w:pPr>
        <w:keepNext/>
        <w:keepLines/>
        <w:spacing w:before="312" w:beforeLines="100" w:after="312" w:afterLines="100" w:line="540" w:lineRule="exact"/>
        <w:jc w:val="center"/>
        <w:outlineLvl w:val="0"/>
        <w:rPr>
          <w:rFonts w:ascii="Times New Roman" w:hAnsi="Times New Roman" w:eastAsia="黑体" w:cs="Times New Roman"/>
          <w:bCs/>
          <w:kern w:val="44"/>
          <w:sz w:val="36"/>
          <w:szCs w:val="36"/>
        </w:rPr>
      </w:pPr>
      <w:bookmarkStart w:id="4" w:name="_Toc13470"/>
      <w:r>
        <w:rPr>
          <w:rFonts w:hint="eastAsia" w:ascii="Times New Roman" w:hAnsi="Times New Roman" w:eastAsia="黑体" w:cs="Times New Roman"/>
          <w:bCs/>
          <w:kern w:val="44"/>
          <w:sz w:val="36"/>
          <w:szCs w:val="36"/>
        </w:rPr>
        <w:t>第二章  规划总则</w:t>
      </w:r>
      <w:bookmarkEnd w:id="4"/>
    </w:p>
    <w:p>
      <w:pPr>
        <w:pStyle w:val="3"/>
        <w:spacing w:before="312" w:beforeLines="100" w:after="312" w:afterLines="100" w:line="580" w:lineRule="exact"/>
        <w:jc w:val="center"/>
        <w:rPr>
          <w:rFonts w:ascii="Times New Roman" w:hAnsi="Times New Roman" w:cstheme="minorBidi"/>
          <w:b w:val="0"/>
          <w:bCs w:val="0"/>
          <w:szCs w:val="24"/>
        </w:rPr>
      </w:pPr>
      <w:bookmarkStart w:id="5" w:name="_Toc13891"/>
      <w:r>
        <w:rPr>
          <w:rFonts w:hint="eastAsia" w:ascii="Times New Roman" w:hAnsi="Times New Roman" w:cstheme="minorBidi"/>
          <w:b w:val="0"/>
          <w:bCs w:val="0"/>
          <w:szCs w:val="24"/>
        </w:rPr>
        <w:t>第一节 指导思想</w:t>
      </w:r>
      <w:bookmarkEnd w:id="5"/>
    </w:p>
    <w:p>
      <w:pPr>
        <w:spacing w:line="58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以习近平新时代中国特色社会主义思想为指导，围绕我省高质量发展和我市“窗口模范生”建设要求，把握江北区全国农村产业融合试点示范区建设和浙江省全域旅游示范区创建的契机，深入落实新时代水利工作方针，在水利发展补短板、强监管的总基调下，坚持问题导向、目标导向相结合，聚焦民生和热点，以建设高标准水利现代化示范区为目标，高质量打造“水美江北”，着力构建“四张网”，做好水安全、水生态、水文化、水智慧、水管理“五水文章”，实现支撑服务江北区“现代化滨水品质城市”建设目标。</w:t>
      </w:r>
    </w:p>
    <w:p>
      <w:pPr>
        <w:spacing w:line="58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至2035年，全力构建“水美城区、水美古城、水美新城、水美乡村”为一体的“四美”现代水治理模式，建设“全域大美河湖格局”，高质量打造“水美江北”；率先建成与经济社会发展相适应且适度超前的“四网”水利现代化发展格局，高标准建设“水利现代化示范区江北样板”。</w:t>
      </w:r>
    </w:p>
    <w:p>
      <w:pPr>
        <w:pStyle w:val="3"/>
        <w:spacing w:before="312" w:beforeLines="100" w:after="312" w:afterLines="100" w:line="580" w:lineRule="exact"/>
        <w:jc w:val="center"/>
        <w:rPr>
          <w:rFonts w:ascii="Times New Roman" w:hAnsi="Times New Roman" w:cstheme="minorBidi"/>
          <w:b w:val="0"/>
          <w:bCs w:val="0"/>
          <w:szCs w:val="24"/>
        </w:rPr>
      </w:pPr>
      <w:bookmarkStart w:id="6" w:name="_Toc29898"/>
      <w:r>
        <w:rPr>
          <w:rFonts w:hint="eastAsia" w:ascii="Times New Roman" w:hAnsi="Times New Roman" w:cstheme="minorBidi"/>
          <w:b w:val="0"/>
          <w:bCs w:val="0"/>
          <w:szCs w:val="24"/>
        </w:rPr>
        <w:t>第二节 基本原则</w:t>
      </w:r>
      <w:bookmarkEnd w:id="6"/>
    </w:p>
    <w:p>
      <w:pPr>
        <w:spacing w:before="156" w:beforeLines="50" w:after="156" w:afterLines="50" w:line="580" w:lineRule="exact"/>
        <w:outlineLvl w:val="2"/>
        <w:rPr>
          <w:rFonts w:ascii="Times New Roman" w:hAnsi="Times New Roman" w:eastAsia="仿宋_GB2312" w:cs="仿宋_GB2312"/>
          <w:b/>
          <w:sz w:val="32"/>
          <w:szCs w:val="32"/>
        </w:rPr>
      </w:pPr>
      <w:r>
        <w:rPr>
          <w:rFonts w:hint="eastAsia" w:ascii="Times New Roman" w:hAnsi="Times New Roman" w:eastAsia="仿宋_GB2312" w:cs="仿宋_GB2312"/>
          <w:b/>
          <w:sz w:val="32"/>
          <w:szCs w:val="32"/>
        </w:rPr>
        <w:t>一、坚持以人为本、生态和谐的原则</w:t>
      </w:r>
    </w:p>
    <w:p>
      <w:pPr>
        <w:spacing w:line="58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以保障人民群众的切身利益为出发点和落脚点，遵循自然规律、市场规律和发展规律，维护河流生态健康，促进人与水的和谐；解决人民群众最关心、最直接、最现实的水安全、水生态、水环境、水文化、水经济等问题。</w:t>
      </w:r>
    </w:p>
    <w:p>
      <w:pPr>
        <w:spacing w:before="156" w:beforeLines="50" w:after="156" w:afterLines="50" w:line="580" w:lineRule="exact"/>
        <w:outlineLvl w:val="2"/>
        <w:rPr>
          <w:rFonts w:ascii="Times New Roman" w:hAnsi="Times New Roman" w:eastAsia="仿宋_GB2312" w:cs="仿宋_GB2312"/>
          <w:b/>
          <w:sz w:val="32"/>
          <w:szCs w:val="32"/>
        </w:rPr>
      </w:pPr>
      <w:r>
        <w:rPr>
          <w:rFonts w:hint="eastAsia" w:ascii="Times New Roman" w:hAnsi="Times New Roman" w:eastAsia="仿宋_GB2312" w:cs="仿宋_GB2312"/>
          <w:b/>
          <w:sz w:val="32"/>
          <w:szCs w:val="32"/>
        </w:rPr>
        <w:t>二、坚持问题导向、品质发展的原则</w:t>
      </w:r>
    </w:p>
    <w:p>
      <w:pPr>
        <w:spacing w:line="58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以解决群众最关心最直接最现实的问题为着力点，问题导向，补齐工程体系建设短板；重点突出水生态、水文化品质发展，坚定文化自信，坚持区域水文化的创造性转化、创新性发展。</w:t>
      </w:r>
    </w:p>
    <w:p>
      <w:pPr>
        <w:spacing w:before="156" w:beforeLines="50" w:after="156" w:afterLines="50" w:line="580" w:lineRule="exact"/>
        <w:outlineLvl w:val="2"/>
        <w:rPr>
          <w:rFonts w:ascii="Times New Roman" w:hAnsi="Times New Roman" w:eastAsia="仿宋_GB2312" w:cs="仿宋_GB2312"/>
          <w:b/>
          <w:sz w:val="32"/>
          <w:szCs w:val="32"/>
        </w:rPr>
      </w:pPr>
      <w:r>
        <w:rPr>
          <w:rFonts w:hint="eastAsia" w:ascii="Times New Roman" w:hAnsi="Times New Roman" w:eastAsia="仿宋_GB2312" w:cs="仿宋_GB2312"/>
          <w:b/>
          <w:sz w:val="32"/>
          <w:szCs w:val="32"/>
        </w:rPr>
        <w:t>三、坚持科学引领、智慧管理的原则</w:t>
      </w:r>
    </w:p>
    <w:p>
      <w:pPr>
        <w:spacing w:line="58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加大水利科技创新力度，积极推进“互联网+”现代水利和智慧水利建设，以水利信息化带动水利现代化。</w:t>
      </w:r>
    </w:p>
    <w:p>
      <w:pPr>
        <w:spacing w:before="156" w:beforeLines="50" w:after="156" w:afterLines="50" w:line="580" w:lineRule="exact"/>
        <w:outlineLvl w:val="2"/>
        <w:rPr>
          <w:rFonts w:ascii="Times New Roman" w:hAnsi="Times New Roman" w:eastAsia="仿宋_GB2312" w:cs="仿宋_GB2312"/>
          <w:b/>
          <w:sz w:val="32"/>
          <w:szCs w:val="32"/>
        </w:rPr>
      </w:pPr>
      <w:r>
        <w:rPr>
          <w:rFonts w:hint="eastAsia" w:ascii="Times New Roman" w:hAnsi="Times New Roman" w:eastAsia="仿宋_GB2312" w:cs="仿宋_GB2312"/>
          <w:b/>
          <w:sz w:val="32"/>
          <w:szCs w:val="32"/>
        </w:rPr>
        <w:t>四、坚持深化改革、创新机制的原则</w:t>
      </w:r>
    </w:p>
    <w:p>
      <w:pPr>
        <w:spacing w:line="58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加快推进水治理体系和水治理能力现代化，加强水利重点领域和关键环节改革攻坚，切实解决新时期水利发展面临的新问题，满足新形势下治水发展的新要求。</w:t>
      </w:r>
    </w:p>
    <w:p>
      <w:pPr>
        <w:pStyle w:val="3"/>
        <w:spacing w:before="312" w:beforeLines="100" w:after="312" w:afterLines="100" w:line="580" w:lineRule="exact"/>
        <w:jc w:val="center"/>
        <w:rPr>
          <w:rFonts w:ascii="Times New Roman" w:hAnsi="Times New Roman" w:cstheme="minorBidi"/>
          <w:b w:val="0"/>
          <w:bCs w:val="0"/>
          <w:szCs w:val="24"/>
        </w:rPr>
      </w:pPr>
      <w:bookmarkStart w:id="7" w:name="_Toc1409"/>
      <w:r>
        <w:rPr>
          <w:rFonts w:hint="eastAsia" w:ascii="Times New Roman" w:hAnsi="Times New Roman" w:cstheme="minorBidi"/>
          <w:b w:val="0"/>
          <w:bCs w:val="0"/>
          <w:szCs w:val="24"/>
        </w:rPr>
        <w:t>第四节 思路及目标</w:t>
      </w:r>
      <w:bookmarkEnd w:id="7"/>
    </w:p>
    <w:p>
      <w:pPr>
        <w:spacing w:before="156" w:beforeLines="50" w:after="156" w:afterLines="50" w:line="580" w:lineRule="exact"/>
        <w:outlineLvl w:val="2"/>
        <w:rPr>
          <w:rFonts w:ascii="Times New Roman" w:hAnsi="Times New Roman" w:eastAsia="仿宋_GB2312" w:cs="仿宋_GB2312"/>
          <w:b/>
          <w:sz w:val="32"/>
          <w:szCs w:val="32"/>
        </w:rPr>
      </w:pPr>
      <w:r>
        <w:rPr>
          <w:rFonts w:hint="eastAsia" w:ascii="Times New Roman" w:hAnsi="Times New Roman" w:eastAsia="仿宋_GB2312" w:cs="仿宋_GB2312"/>
          <w:b/>
          <w:sz w:val="32"/>
          <w:szCs w:val="32"/>
        </w:rPr>
        <w:t>一、总体目标</w:t>
      </w:r>
    </w:p>
    <w:p>
      <w:pPr>
        <w:spacing w:line="58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以习</w:t>
      </w:r>
      <w:r>
        <w:rPr>
          <w:rFonts w:hint="eastAsia" w:ascii="Times New Roman" w:hAnsi="Times New Roman" w:eastAsia="仿宋_GB2312" w:cs="仿宋_GB2312"/>
          <w:sz w:val="32"/>
          <w:szCs w:val="32"/>
          <w:lang w:eastAsia="zh-CN"/>
        </w:rPr>
        <w:t>近平</w:t>
      </w:r>
      <w:bookmarkStart w:id="30" w:name="_GoBack"/>
      <w:bookmarkEnd w:id="30"/>
      <w:r>
        <w:rPr>
          <w:rFonts w:hint="eastAsia" w:ascii="Times New Roman" w:hAnsi="Times New Roman" w:eastAsia="仿宋_GB2312" w:cs="仿宋_GB2312"/>
          <w:sz w:val="32"/>
          <w:szCs w:val="32"/>
        </w:rPr>
        <w:t>总书记的新时代治水理念为指导，围绕江北区城市发展定位，践行“乡村振兴战略”，坚持问题导向、目标导向，聚焦民生热点，在水利发展“补短板、提品质、树样板”的总基调下，着力构建“平安水网、蓝绿水网、幸福水网、智慧水网”水利发展“四张网”，完善五大体系，力争建成宁波高标准水利现代化示范区“韧性发展先锋、滨水品质标杆、水城融合典范、智慧水利高地”江北样板区，构建“全域大美河湖格局”，支撑服务江北“现代化滨水品质城市”新格局。</w:t>
      </w:r>
    </w:p>
    <w:p>
      <w:pPr>
        <w:spacing w:before="156" w:beforeLines="50" w:after="156" w:afterLines="50" w:line="580" w:lineRule="exact"/>
        <w:outlineLvl w:val="2"/>
        <w:rPr>
          <w:rFonts w:ascii="Times New Roman" w:hAnsi="Times New Roman" w:eastAsia="仿宋_GB2312" w:cs="仿宋_GB2312"/>
          <w:b/>
          <w:sz w:val="32"/>
          <w:szCs w:val="32"/>
        </w:rPr>
      </w:pPr>
      <w:r>
        <w:rPr>
          <w:rFonts w:hint="eastAsia" w:ascii="Times New Roman" w:hAnsi="Times New Roman" w:eastAsia="仿宋_GB2312" w:cs="仿宋_GB2312"/>
          <w:b/>
          <w:sz w:val="32"/>
          <w:szCs w:val="32"/>
        </w:rPr>
        <w:t>二、分项目标</w:t>
      </w:r>
    </w:p>
    <w:p>
      <w:pPr>
        <w:spacing w:before="156" w:beforeLines="50" w:line="580" w:lineRule="exact"/>
        <w:ind w:firstLine="640" w:firstLineChars="200"/>
        <w:rPr>
          <w:rFonts w:ascii="Times New Roman" w:hAnsi="Times New Roman" w:eastAsia="楷体_GB2312" w:cs="楷体_GB2312"/>
          <w:sz w:val="32"/>
          <w:szCs w:val="32"/>
          <w:lang w:val="en-AU"/>
        </w:rPr>
      </w:pPr>
      <w:r>
        <w:rPr>
          <w:rFonts w:hint="eastAsia" w:ascii="Times New Roman" w:hAnsi="Times New Roman" w:eastAsia="楷体_GB2312" w:cs="楷体_GB2312"/>
          <w:sz w:val="32"/>
          <w:szCs w:val="32"/>
          <w:lang w:val="en-AU"/>
        </w:rPr>
        <w:t>（</w:t>
      </w:r>
      <w:r>
        <w:rPr>
          <w:rFonts w:hint="eastAsia" w:ascii="Times New Roman" w:hAnsi="Times New Roman" w:eastAsia="楷体_GB2312" w:cs="楷体_GB2312"/>
          <w:sz w:val="32"/>
          <w:szCs w:val="32"/>
        </w:rPr>
        <w:t>一</w:t>
      </w:r>
      <w:r>
        <w:rPr>
          <w:rFonts w:hint="eastAsia" w:ascii="Times New Roman" w:hAnsi="Times New Roman" w:eastAsia="楷体_GB2312" w:cs="楷体_GB2312"/>
          <w:sz w:val="32"/>
          <w:szCs w:val="32"/>
          <w:lang w:val="en-AU"/>
        </w:rPr>
        <w:t>）补齐水灾害防御体系，构建“平安水网”，高标保障安全</w:t>
      </w:r>
    </w:p>
    <w:p>
      <w:pPr>
        <w:spacing w:line="58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以全面补齐基础设施保障能力为基础，推进防洪排涝工程高标准建设，形成“上蓄、外挡、中疏、强排”+“内滞”的防洪减灾格局，补齐水灾害防御体系，构建“平安水网”，高标保障安全。至2025年：</w:t>
      </w:r>
    </w:p>
    <w:p>
      <w:pPr>
        <w:pStyle w:val="31"/>
        <w:numPr>
          <w:ilvl w:val="0"/>
          <w:numId w:val="1"/>
        </w:numPr>
        <w:tabs>
          <w:tab w:val="left" w:pos="720"/>
        </w:tabs>
        <w:autoSpaceDE w:val="0"/>
        <w:autoSpaceDN w:val="0"/>
        <w:adjustRightInd w:val="0"/>
        <w:spacing w:line="580" w:lineRule="exact"/>
        <w:ind w:left="0" w:firstLine="640"/>
        <w:rPr>
          <w:rFonts w:ascii="Times New Roman" w:hAnsi="Times New Roman" w:eastAsia="仿宋_GB2312" w:cs="仿宋_GB2312"/>
          <w:sz w:val="32"/>
          <w:szCs w:val="32"/>
        </w:rPr>
      </w:pPr>
      <w:r>
        <w:rPr>
          <w:rFonts w:hint="eastAsia" w:ascii="Times New Roman" w:hAnsi="Times New Roman" w:eastAsia="仿宋_GB2312" w:cs="仿宋_GB2312"/>
          <w:sz w:val="32"/>
          <w:szCs w:val="32"/>
        </w:rPr>
        <w:t>姚江堤防城区段防洪标准提升至100年一遇，</w:t>
      </w:r>
    </w:p>
    <w:p>
      <w:pPr>
        <w:pStyle w:val="31"/>
        <w:numPr>
          <w:ilvl w:val="0"/>
          <w:numId w:val="1"/>
        </w:numPr>
        <w:tabs>
          <w:tab w:val="left" w:pos="720"/>
        </w:tabs>
        <w:autoSpaceDE w:val="0"/>
        <w:autoSpaceDN w:val="0"/>
        <w:adjustRightInd w:val="0"/>
        <w:spacing w:line="580" w:lineRule="exact"/>
        <w:ind w:left="0" w:firstLine="640"/>
        <w:rPr>
          <w:rFonts w:ascii="Times New Roman" w:hAnsi="Times New Roman" w:eastAsia="仿宋_GB2312" w:cs="仿宋_GB2312"/>
          <w:sz w:val="32"/>
          <w:szCs w:val="32"/>
        </w:rPr>
      </w:pPr>
      <w:r>
        <w:rPr>
          <w:rFonts w:hint="eastAsia" w:ascii="Times New Roman" w:hAnsi="Times New Roman" w:eastAsia="仿宋_GB2312" w:cs="仿宋_GB2312"/>
          <w:sz w:val="32"/>
          <w:szCs w:val="32"/>
        </w:rPr>
        <w:t>甬江堤防防洪（潮）标准提升至100~200年一遇，</w:t>
      </w:r>
    </w:p>
    <w:p>
      <w:pPr>
        <w:pStyle w:val="31"/>
        <w:numPr>
          <w:ilvl w:val="0"/>
          <w:numId w:val="1"/>
        </w:numPr>
        <w:tabs>
          <w:tab w:val="left" w:pos="720"/>
        </w:tabs>
        <w:autoSpaceDE w:val="0"/>
        <w:autoSpaceDN w:val="0"/>
        <w:adjustRightInd w:val="0"/>
        <w:spacing w:line="580" w:lineRule="exact"/>
        <w:ind w:left="0" w:firstLine="640"/>
        <w:rPr>
          <w:rFonts w:ascii="Times New Roman" w:hAnsi="Times New Roman" w:eastAsia="仿宋_GB2312" w:cs="仿宋_GB2312"/>
          <w:sz w:val="32"/>
          <w:szCs w:val="32"/>
        </w:rPr>
      </w:pPr>
      <w:r>
        <w:rPr>
          <w:rFonts w:hint="eastAsia" w:ascii="Times New Roman" w:hAnsi="Times New Roman" w:eastAsia="仿宋_GB2312" w:cs="仿宋_GB2312"/>
          <w:sz w:val="32"/>
          <w:szCs w:val="32"/>
        </w:rPr>
        <w:t>平原排涝标准提升至10~50年一遇。</w:t>
      </w:r>
    </w:p>
    <w:p>
      <w:pPr>
        <w:spacing w:before="156" w:beforeLines="50" w:line="580" w:lineRule="exact"/>
        <w:ind w:firstLine="640" w:firstLineChars="200"/>
        <w:rPr>
          <w:rFonts w:ascii="Times New Roman" w:hAnsi="Times New Roman" w:eastAsia="楷体_GB2312" w:cs="楷体_GB2312"/>
          <w:sz w:val="32"/>
          <w:szCs w:val="32"/>
          <w:lang w:val="en-AU"/>
        </w:rPr>
      </w:pPr>
      <w:r>
        <w:rPr>
          <w:rFonts w:hint="eastAsia" w:ascii="Times New Roman" w:hAnsi="Times New Roman" w:eastAsia="楷体_GB2312" w:cs="楷体_GB2312"/>
          <w:sz w:val="32"/>
          <w:szCs w:val="32"/>
          <w:lang w:val="en-AU"/>
        </w:rPr>
        <w:t>（</w:t>
      </w:r>
      <w:r>
        <w:rPr>
          <w:rFonts w:hint="eastAsia" w:ascii="Times New Roman" w:hAnsi="Times New Roman" w:eastAsia="楷体_GB2312" w:cs="楷体_GB2312"/>
          <w:sz w:val="32"/>
          <w:szCs w:val="32"/>
        </w:rPr>
        <w:t>二</w:t>
      </w:r>
      <w:r>
        <w:rPr>
          <w:rFonts w:hint="eastAsia" w:ascii="Times New Roman" w:hAnsi="Times New Roman" w:eastAsia="楷体_GB2312" w:cs="楷体_GB2312"/>
          <w:sz w:val="32"/>
          <w:szCs w:val="32"/>
          <w:lang w:val="en-AU"/>
        </w:rPr>
        <w:t>）提升水生态修复体系，构建“蓝绿水网”，擦亮城市底色</w:t>
      </w:r>
    </w:p>
    <w:p>
      <w:pPr>
        <w:spacing w:line="58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聚焦民生，结合河道整治、蓄滞空间、沿江引排泵站等传统防洪排涝工程建设，从“污染防控、引水活水、生态提升”三个层面，多措并举实施水生态环境治理，形成多要素系统融合发展、和谐长效的“蓝绿水网”，构建健康长效的水生态修复体系。至2025年：</w:t>
      </w:r>
    </w:p>
    <w:p>
      <w:pPr>
        <w:pStyle w:val="31"/>
        <w:numPr>
          <w:ilvl w:val="0"/>
          <w:numId w:val="1"/>
        </w:numPr>
        <w:tabs>
          <w:tab w:val="left" w:pos="720"/>
        </w:tabs>
        <w:autoSpaceDE w:val="0"/>
        <w:autoSpaceDN w:val="0"/>
        <w:adjustRightInd w:val="0"/>
        <w:spacing w:line="580" w:lineRule="exact"/>
        <w:ind w:left="0" w:firstLine="640"/>
        <w:rPr>
          <w:rFonts w:ascii="Times New Roman" w:hAnsi="Times New Roman" w:eastAsia="仿宋_GB2312" w:cs="仿宋_GB2312"/>
          <w:sz w:val="32"/>
          <w:szCs w:val="32"/>
        </w:rPr>
      </w:pPr>
      <w:r>
        <w:rPr>
          <w:rFonts w:hint="eastAsia" w:ascii="Times New Roman" w:hAnsi="Times New Roman" w:eastAsia="仿宋_GB2312" w:cs="仿宋_GB2312"/>
          <w:sz w:val="32"/>
          <w:szCs w:val="32"/>
        </w:rPr>
        <w:t>平原河网水面率≥4.80%</w:t>
      </w:r>
    </w:p>
    <w:p>
      <w:pPr>
        <w:pStyle w:val="31"/>
        <w:numPr>
          <w:ilvl w:val="0"/>
          <w:numId w:val="1"/>
        </w:numPr>
        <w:tabs>
          <w:tab w:val="left" w:pos="720"/>
        </w:tabs>
        <w:autoSpaceDE w:val="0"/>
        <w:autoSpaceDN w:val="0"/>
        <w:adjustRightInd w:val="0"/>
        <w:spacing w:line="580" w:lineRule="exact"/>
        <w:ind w:left="0" w:firstLine="640"/>
        <w:rPr>
          <w:rFonts w:ascii="Times New Roman" w:hAnsi="Times New Roman" w:eastAsia="仿宋_GB2312" w:cs="仿宋_GB2312"/>
          <w:sz w:val="32"/>
          <w:szCs w:val="32"/>
        </w:rPr>
      </w:pPr>
      <w:r>
        <w:rPr>
          <w:rFonts w:hint="eastAsia" w:ascii="Times New Roman" w:hAnsi="Times New Roman" w:eastAsia="仿宋_GB2312" w:cs="仿宋_GB2312"/>
          <w:sz w:val="32"/>
          <w:szCs w:val="32"/>
        </w:rPr>
        <w:t>平原河网环境配水量≥0.65亿m</w:t>
      </w:r>
      <w:r>
        <w:rPr>
          <w:rFonts w:hint="eastAsia" w:ascii="Times New Roman" w:hAnsi="Times New Roman" w:eastAsia="仿宋_GB2312" w:cs="仿宋_GB2312"/>
          <w:sz w:val="32"/>
          <w:szCs w:val="32"/>
          <w:vertAlign w:val="superscript"/>
        </w:rPr>
        <w:t>3</w:t>
      </w:r>
    </w:p>
    <w:p>
      <w:pPr>
        <w:pStyle w:val="31"/>
        <w:numPr>
          <w:ilvl w:val="0"/>
          <w:numId w:val="1"/>
        </w:numPr>
        <w:tabs>
          <w:tab w:val="left" w:pos="720"/>
        </w:tabs>
        <w:autoSpaceDE w:val="0"/>
        <w:autoSpaceDN w:val="0"/>
        <w:adjustRightInd w:val="0"/>
        <w:spacing w:line="580" w:lineRule="exact"/>
        <w:ind w:left="0" w:firstLine="640"/>
        <w:rPr>
          <w:rFonts w:ascii="Times New Roman" w:hAnsi="Times New Roman" w:eastAsia="仿宋_GB2312" w:cs="仿宋_GB2312"/>
          <w:sz w:val="32"/>
          <w:szCs w:val="32"/>
        </w:rPr>
      </w:pPr>
      <w:r>
        <w:rPr>
          <w:rFonts w:hint="eastAsia" w:ascii="Times New Roman" w:hAnsi="Times New Roman" w:eastAsia="仿宋_GB2312" w:cs="仿宋_GB2312"/>
          <w:sz w:val="32"/>
          <w:szCs w:val="32"/>
        </w:rPr>
        <w:t>慈江南岸活水引调覆盖率&gt;50%</w:t>
      </w:r>
      <w:r>
        <w:rPr>
          <w:rFonts w:hint="eastAsia" w:ascii="Times New Roman" w:hAnsi="Times New Roman" w:eastAsia="仿宋_GB2312" w:cs="仿宋_GB2312"/>
          <w:sz w:val="32"/>
          <w:szCs w:val="32"/>
        </w:rPr>
        <w:tab/>
      </w:r>
    </w:p>
    <w:p>
      <w:pPr>
        <w:spacing w:before="156" w:beforeLines="50" w:line="580" w:lineRule="exact"/>
        <w:ind w:firstLine="640" w:firstLineChars="200"/>
        <w:rPr>
          <w:rFonts w:ascii="Times New Roman" w:hAnsi="Times New Roman" w:eastAsia="楷体_GB2312" w:cs="楷体_GB2312"/>
          <w:sz w:val="32"/>
          <w:szCs w:val="32"/>
          <w:lang w:val="en-AU"/>
        </w:rPr>
      </w:pPr>
      <w:r>
        <w:rPr>
          <w:rFonts w:hint="eastAsia" w:ascii="Times New Roman" w:hAnsi="Times New Roman" w:eastAsia="楷体_GB2312" w:cs="楷体_GB2312"/>
          <w:sz w:val="32"/>
          <w:szCs w:val="32"/>
          <w:lang w:val="en-AU"/>
        </w:rPr>
        <w:t>（</w:t>
      </w:r>
      <w:r>
        <w:rPr>
          <w:rFonts w:hint="eastAsia" w:ascii="Times New Roman" w:hAnsi="Times New Roman" w:eastAsia="楷体_GB2312" w:cs="楷体_GB2312"/>
          <w:sz w:val="32"/>
          <w:szCs w:val="32"/>
        </w:rPr>
        <w:t>三</w:t>
      </w:r>
      <w:r>
        <w:rPr>
          <w:rFonts w:hint="eastAsia" w:ascii="Times New Roman" w:hAnsi="Times New Roman" w:eastAsia="楷体_GB2312" w:cs="楷体_GB2312"/>
          <w:sz w:val="32"/>
          <w:szCs w:val="32"/>
          <w:lang w:val="en-AU"/>
        </w:rPr>
        <w:t>）打造水文化景观体系，构建“幸福水网”，重塑名城水脉</w:t>
      </w:r>
    </w:p>
    <w:p>
      <w:pPr>
        <w:spacing w:line="58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深入挖掘江北区水文化资源，将水文化保护、宣传融入到全域旅游项目建设体系中；以水岸生态、湖泊湿地建设为依托，加强全域“水文化+”融合，科学谋划水文化多样载体，形成“点、线、面”全域水城融合常态发展，构建人水和谐的水文化景观体系。至2025年：</w:t>
      </w:r>
    </w:p>
    <w:p>
      <w:pPr>
        <w:pStyle w:val="31"/>
        <w:numPr>
          <w:ilvl w:val="0"/>
          <w:numId w:val="1"/>
        </w:numPr>
        <w:tabs>
          <w:tab w:val="left" w:pos="720"/>
        </w:tabs>
        <w:autoSpaceDE w:val="0"/>
        <w:autoSpaceDN w:val="0"/>
        <w:adjustRightInd w:val="0"/>
        <w:spacing w:line="580" w:lineRule="exact"/>
        <w:ind w:left="0" w:firstLine="640"/>
        <w:rPr>
          <w:rFonts w:ascii="Times New Roman" w:hAnsi="Times New Roman" w:eastAsia="仿宋_GB2312" w:cs="仿宋_GB2312"/>
          <w:sz w:val="32"/>
          <w:szCs w:val="32"/>
        </w:rPr>
      </w:pPr>
      <w:r>
        <w:rPr>
          <w:rFonts w:hint="eastAsia" w:ascii="Times New Roman" w:hAnsi="Times New Roman" w:eastAsia="仿宋_GB2312" w:cs="仿宋_GB2312"/>
          <w:sz w:val="32"/>
          <w:szCs w:val="32"/>
        </w:rPr>
        <w:t>水文化遗存保护占比≥100%</w:t>
      </w:r>
    </w:p>
    <w:p>
      <w:pPr>
        <w:pStyle w:val="31"/>
        <w:numPr>
          <w:ilvl w:val="0"/>
          <w:numId w:val="1"/>
        </w:numPr>
        <w:tabs>
          <w:tab w:val="left" w:pos="720"/>
        </w:tabs>
        <w:autoSpaceDE w:val="0"/>
        <w:autoSpaceDN w:val="0"/>
        <w:adjustRightInd w:val="0"/>
        <w:spacing w:line="580" w:lineRule="exact"/>
        <w:ind w:left="0" w:firstLine="640"/>
        <w:rPr>
          <w:rFonts w:ascii="Times New Roman" w:hAnsi="Times New Roman" w:eastAsia="仿宋_GB2312" w:cs="仿宋_GB2312"/>
          <w:sz w:val="32"/>
          <w:szCs w:val="32"/>
        </w:rPr>
      </w:pPr>
      <w:r>
        <w:rPr>
          <w:rFonts w:hint="eastAsia" w:ascii="Times New Roman" w:hAnsi="Times New Roman" w:eastAsia="仿宋_GB2312" w:cs="仿宋_GB2312"/>
          <w:sz w:val="32"/>
          <w:szCs w:val="32"/>
        </w:rPr>
        <w:t>新增水文化载体2处以上，</w:t>
      </w:r>
    </w:p>
    <w:p>
      <w:pPr>
        <w:pStyle w:val="31"/>
        <w:numPr>
          <w:ilvl w:val="0"/>
          <w:numId w:val="1"/>
        </w:numPr>
        <w:tabs>
          <w:tab w:val="left" w:pos="720"/>
        </w:tabs>
        <w:autoSpaceDE w:val="0"/>
        <w:autoSpaceDN w:val="0"/>
        <w:adjustRightInd w:val="0"/>
        <w:spacing w:line="580" w:lineRule="exact"/>
        <w:ind w:left="0" w:firstLine="640"/>
        <w:rPr>
          <w:rFonts w:ascii="Times New Roman" w:hAnsi="Times New Roman" w:eastAsia="仿宋_GB2312" w:cs="仿宋_GB2312"/>
          <w:sz w:val="32"/>
          <w:szCs w:val="32"/>
        </w:rPr>
      </w:pPr>
      <w:r>
        <w:rPr>
          <w:rFonts w:hint="eastAsia" w:ascii="Times New Roman" w:hAnsi="Times New Roman" w:eastAsia="仿宋_GB2312" w:cs="仿宋_GB2312"/>
          <w:sz w:val="32"/>
          <w:szCs w:val="32"/>
        </w:rPr>
        <w:t>新增幸福河湖1处以上；</w:t>
      </w:r>
    </w:p>
    <w:p>
      <w:pPr>
        <w:spacing w:before="156" w:beforeLines="50" w:line="580" w:lineRule="exact"/>
        <w:ind w:firstLine="640" w:firstLineChars="200"/>
        <w:rPr>
          <w:rFonts w:ascii="Times New Roman" w:hAnsi="Times New Roman" w:eastAsia="楷体_GB2312" w:cs="楷体_GB2312"/>
          <w:sz w:val="32"/>
          <w:szCs w:val="32"/>
          <w:lang w:val="en-AU"/>
        </w:rPr>
      </w:pPr>
      <w:r>
        <w:rPr>
          <w:rFonts w:hint="eastAsia" w:ascii="Times New Roman" w:hAnsi="Times New Roman" w:eastAsia="楷体_GB2312" w:cs="楷体_GB2312"/>
          <w:sz w:val="32"/>
          <w:szCs w:val="32"/>
          <w:lang w:val="en-AU"/>
        </w:rPr>
        <w:t>（</w:t>
      </w:r>
      <w:r>
        <w:rPr>
          <w:rFonts w:hint="eastAsia" w:ascii="Times New Roman" w:hAnsi="Times New Roman" w:eastAsia="楷体_GB2312" w:cs="楷体_GB2312"/>
          <w:sz w:val="32"/>
          <w:szCs w:val="32"/>
        </w:rPr>
        <w:t>四</w:t>
      </w:r>
      <w:r>
        <w:rPr>
          <w:rFonts w:hint="eastAsia" w:ascii="Times New Roman" w:hAnsi="Times New Roman" w:eastAsia="楷体_GB2312" w:cs="楷体_GB2312"/>
          <w:sz w:val="32"/>
          <w:szCs w:val="32"/>
          <w:lang w:val="en-AU"/>
        </w:rPr>
        <w:t>）升级智慧水利应用体系，完善现代化水管理体系，构建“智慧水网”，实现长治久安</w:t>
      </w:r>
    </w:p>
    <w:p>
      <w:pPr>
        <w:spacing w:line="58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智慧水利升级提档，加强基础感知的基础上实现预报预警精准研判，进一步提升江北区防汛防台智能化水平，降低洪涝灾害损失。并以智慧水利建设为抓手，提升水利现代化管理水平，依法治水、管水。构建智能高效的智慧水利应用体系和管控有力的现代化水管理体系。至2025年：</w:t>
      </w:r>
    </w:p>
    <w:p>
      <w:pPr>
        <w:pStyle w:val="31"/>
        <w:numPr>
          <w:ilvl w:val="0"/>
          <w:numId w:val="1"/>
        </w:numPr>
        <w:tabs>
          <w:tab w:val="left" w:pos="720"/>
        </w:tabs>
        <w:autoSpaceDE w:val="0"/>
        <w:autoSpaceDN w:val="0"/>
        <w:adjustRightInd w:val="0"/>
        <w:spacing w:line="580" w:lineRule="exact"/>
        <w:ind w:left="0" w:firstLine="640"/>
        <w:rPr>
          <w:rFonts w:ascii="Times New Roman" w:hAnsi="Times New Roman" w:eastAsia="仿宋_GB2312" w:cs="仿宋_GB2312"/>
          <w:sz w:val="32"/>
          <w:szCs w:val="32"/>
        </w:rPr>
      </w:pPr>
      <w:r>
        <w:rPr>
          <w:rFonts w:hint="eastAsia" w:ascii="Times New Roman" w:hAnsi="Times New Roman" w:eastAsia="仿宋_GB2312" w:cs="仿宋_GB2312"/>
          <w:sz w:val="32"/>
          <w:szCs w:val="32"/>
        </w:rPr>
        <w:t>水利设施物联感知覆盖率达90%以上，</w:t>
      </w:r>
    </w:p>
    <w:p>
      <w:pPr>
        <w:pStyle w:val="31"/>
        <w:numPr>
          <w:ilvl w:val="0"/>
          <w:numId w:val="1"/>
        </w:numPr>
        <w:tabs>
          <w:tab w:val="left" w:pos="720"/>
        </w:tabs>
        <w:autoSpaceDE w:val="0"/>
        <w:autoSpaceDN w:val="0"/>
        <w:adjustRightInd w:val="0"/>
        <w:spacing w:line="580" w:lineRule="exact"/>
        <w:ind w:left="0" w:firstLine="640"/>
        <w:rPr>
          <w:rFonts w:ascii="Times New Roman" w:hAnsi="Times New Roman" w:eastAsia="仿宋_GB2312" w:cs="仿宋_GB2312"/>
          <w:sz w:val="32"/>
          <w:szCs w:val="32"/>
        </w:rPr>
      </w:pPr>
      <w:r>
        <w:rPr>
          <w:rFonts w:hint="eastAsia" w:ascii="Times New Roman" w:hAnsi="Times New Roman" w:eastAsia="仿宋_GB2312" w:cs="仿宋_GB2312"/>
          <w:sz w:val="32"/>
          <w:szCs w:val="32"/>
        </w:rPr>
        <w:t>水利管理高级人才占比20%以上，</w:t>
      </w:r>
    </w:p>
    <w:p>
      <w:pPr>
        <w:pStyle w:val="31"/>
        <w:numPr>
          <w:ilvl w:val="0"/>
          <w:numId w:val="1"/>
        </w:numPr>
        <w:tabs>
          <w:tab w:val="left" w:pos="720"/>
        </w:tabs>
        <w:autoSpaceDE w:val="0"/>
        <w:autoSpaceDN w:val="0"/>
        <w:adjustRightInd w:val="0"/>
        <w:spacing w:line="580" w:lineRule="exact"/>
        <w:ind w:left="0" w:firstLine="640"/>
        <w:rPr>
          <w:rFonts w:ascii="Times New Roman" w:hAnsi="Times New Roman" w:eastAsia="仿宋_GB2312" w:cs="仿宋_GB2312"/>
          <w:sz w:val="32"/>
          <w:szCs w:val="32"/>
        </w:rPr>
      </w:pPr>
      <w:r>
        <w:rPr>
          <w:rFonts w:hint="eastAsia" w:ascii="Times New Roman" w:hAnsi="Times New Roman" w:eastAsia="仿宋_GB2312" w:cs="仿宋_GB2312"/>
          <w:sz w:val="32"/>
          <w:szCs w:val="32"/>
        </w:rPr>
        <w:t>运行管理投资比例达5%以上，</w:t>
      </w:r>
    </w:p>
    <w:p>
      <w:pPr>
        <w:pStyle w:val="31"/>
        <w:numPr>
          <w:ilvl w:val="0"/>
          <w:numId w:val="1"/>
        </w:numPr>
        <w:tabs>
          <w:tab w:val="left" w:pos="720"/>
        </w:tabs>
        <w:autoSpaceDE w:val="0"/>
        <w:autoSpaceDN w:val="0"/>
        <w:adjustRightInd w:val="0"/>
        <w:spacing w:line="580" w:lineRule="exact"/>
        <w:ind w:left="0" w:firstLine="640"/>
        <w:rPr>
          <w:rFonts w:ascii="Times New Roman" w:hAnsi="Times New Roman" w:eastAsia="仿宋_GB2312" w:cs="仿宋_GB2312"/>
          <w:sz w:val="32"/>
          <w:szCs w:val="32"/>
        </w:rPr>
      </w:pPr>
      <w:r>
        <w:rPr>
          <w:rFonts w:hint="eastAsia" w:ascii="Times New Roman" w:hAnsi="Times New Roman" w:eastAsia="仿宋_GB2312" w:cs="仿宋_GB2312"/>
          <w:sz w:val="32"/>
          <w:szCs w:val="32"/>
        </w:rPr>
        <w:t>完成节水型社会创建。</w:t>
      </w:r>
    </w:p>
    <w:p>
      <w:pPr>
        <w:pStyle w:val="44"/>
        <w:rPr>
          <w:color w:val="auto"/>
          <w:sz w:val="24"/>
        </w:rPr>
      </w:pPr>
    </w:p>
    <w:p>
      <w:pPr>
        <w:pStyle w:val="44"/>
        <w:rPr>
          <w:color w:val="auto"/>
          <w:sz w:val="24"/>
        </w:rPr>
      </w:pPr>
    </w:p>
    <w:p>
      <w:pPr>
        <w:pStyle w:val="44"/>
        <w:rPr>
          <w:color w:val="auto"/>
          <w:sz w:val="24"/>
        </w:rPr>
      </w:pPr>
    </w:p>
    <w:p>
      <w:pPr>
        <w:pStyle w:val="44"/>
        <w:rPr>
          <w:color w:val="auto"/>
          <w:sz w:val="24"/>
        </w:rPr>
      </w:pPr>
      <w:r>
        <w:rPr>
          <w:rFonts w:hint="eastAsia"/>
          <w:color w:val="auto"/>
          <w:sz w:val="24"/>
        </w:rPr>
        <w:t>表2-1  规划指标详表</w:t>
      </w:r>
    </w:p>
    <w:tbl>
      <w:tblPr>
        <w:tblStyle w:val="19"/>
        <w:tblW w:w="5000" w:type="pct"/>
        <w:tblInd w:w="0" w:type="dxa"/>
        <w:tblLayout w:type="autofit"/>
        <w:tblCellMar>
          <w:top w:w="0" w:type="dxa"/>
          <w:left w:w="108" w:type="dxa"/>
          <w:bottom w:w="0" w:type="dxa"/>
          <w:right w:w="108" w:type="dxa"/>
        </w:tblCellMar>
      </w:tblPr>
      <w:tblGrid>
        <w:gridCol w:w="840"/>
        <w:gridCol w:w="544"/>
        <w:gridCol w:w="707"/>
        <w:gridCol w:w="2129"/>
        <w:gridCol w:w="850"/>
        <w:gridCol w:w="849"/>
        <w:gridCol w:w="920"/>
        <w:gridCol w:w="924"/>
        <w:gridCol w:w="759"/>
      </w:tblGrid>
      <w:tr>
        <w:tblPrEx>
          <w:tblCellMar>
            <w:top w:w="0" w:type="dxa"/>
            <w:left w:w="108" w:type="dxa"/>
            <w:bottom w:w="0" w:type="dxa"/>
            <w:right w:w="108" w:type="dxa"/>
          </w:tblCellMar>
        </w:tblPrEx>
        <w:trPr>
          <w:trHeight w:val="397" w:hRule="atLeast"/>
        </w:trPr>
        <w:tc>
          <w:tcPr>
            <w:tcW w:w="49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分类</w:t>
            </w:r>
          </w:p>
        </w:tc>
        <w:tc>
          <w:tcPr>
            <w:tcW w:w="319"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序号</w:t>
            </w:r>
          </w:p>
        </w:tc>
        <w:tc>
          <w:tcPr>
            <w:tcW w:w="415"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一级指标</w:t>
            </w:r>
          </w:p>
        </w:tc>
        <w:tc>
          <w:tcPr>
            <w:tcW w:w="1249"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二级指标</w:t>
            </w:r>
          </w:p>
        </w:tc>
        <w:tc>
          <w:tcPr>
            <w:tcW w:w="499"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单位</w:t>
            </w:r>
          </w:p>
        </w:tc>
        <w:tc>
          <w:tcPr>
            <w:tcW w:w="498"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现状值</w:t>
            </w:r>
          </w:p>
        </w:tc>
        <w:tc>
          <w:tcPr>
            <w:tcW w:w="54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2025</w:t>
            </w:r>
            <w:r>
              <w:rPr>
                <w:rFonts w:hint="eastAsia" w:ascii="Times New Roman" w:hAnsi="Times New Roman" w:eastAsia="等线" w:cs="Times New Roman"/>
                <w:color w:val="000000"/>
                <w:kern w:val="0"/>
                <w:sz w:val="18"/>
                <w:szCs w:val="18"/>
              </w:rPr>
              <w:t>年</w:t>
            </w:r>
          </w:p>
        </w:tc>
        <w:tc>
          <w:tcPr>
            <w:tcW w:w="542"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2035</w:t>
            </w:r>
            <w:r>
              <w:rPr>
                <w:rFonts w:hint="eastAsia" w:ascii="Times New Roman" w:hAnsi="Times New Roman" w:eastAsia="宋体" w:cs="Times New Roman"/>
                <w:color w:val="000000"/>
                <w:kern w:val="0"/>
                <w:sz w:val="18"/>
                <w:szCs w:val="18"/>
              </w:rPr>
              <w:t>年</w:t>
            </w:r>
          </w:p>
        </w:tc>
        <w:tc>
          <w:tcPr>
            <w:tcW w:w="445"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指标性质</w:t>
            </w:r>
          </w:p>
        </w:tc>
      </w:tr>
      <w:tr>
        <w:tblPrEx>
          <w:tblCellMar>
            <w:top w:w="0" w:type="dxa"/>
            <w:left w:w="108" w:type="dxa"/>
            <w:bottom w:w="0" w:type="dxa"/>
            <w:right w:w="108" w:type="dxa"/>
          </w:tblCellMar>
        </w:tblPrEx>
        <w:trPr>
          <w:trHeight w:val="397" w:hRule="atLeast"/>
        </w:trPr>
        <w:tc>
          <w:tcPr>
            <w:tcW w:w="493"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一、水安全保障</w:t>
            </w:r>
          </w:p>
        </w:tc>
        <w:tc>
          <w:tcPr>
            <w:tcW w:w="31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w:t>
            </w:r>
          </w:p>
        </w:tc>
        <w:tc>
          <w:tcPr>
            <w:tcW w:w="415"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防洪减灾</w:t>
            </w:r>
          </w:p>
        </w:tc>
        <w:tc>
          <w:tcPr>
            <w:tcW w:w="1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江河干流堤防达标率</w:t>
            </w:r>
          </w:p>
        </w:tc>
        <w:tc>
          <w:tcPr>
            <w:tcW w:w="49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w:t>
            </w:r>
          </w:p>
        </w:tc>
        <w:tc>
          <w:tcPr>
            <w:tcW w:w="49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97%</w:t>
            </w:r>
          </w:p>
        </w:tc>
        <w:tc>
          <w:tcPr>
            <w:tcW w:w="540"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100%</w:t>
            </w:r>
          </w:p>
        </w:tc>
        <w:tc>
          <w:tcPr>
            <w:tcW w:w="542"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100%</w:t>
            </w:r>
          </w:p>
        </w:tc>
        <w:tc>
          <w:tcPr>
            <w:tcW w:w="445"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预期性</w:t>
            </w:r>
          </w:p>
        </w:tc>
      </w:tr>
      <w:tr>
        <w:tblPrEx>
          <w:tblCellMar>
            <w:top w:w="0" w:type="dxa"/>
            <w:left w:w="108" w:type="dxa"/>
            <w:bottom w:w="0" w:type="dxa"/>
            <w:right w:w="108" w:type="dxa"/>
          </w:tblCellMar>
        </w:tblPrEx>
        <w:trPr>
          <w:trHeight w:val="397" w:hRule="atLeast"/>
        </w:trPr>
        <w:tc>
          <w:tcPr>
            <w:tcW w:w="49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宋体"/>
                <w:color w:val="000000"/>
                <w:kern w:val="0"/>
                <w:sz w:val="18"/>
                <w:szCs w:val="18"/>
              </w:rPr>
            </w:pPr>
          </w:p>
        </w:tc>
        <w:tc>
          <w:tcPr>
            <w:tcW w:w="31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2</w:t>
            </w:r>
          </w:p>
        </w:tc>
        <w:tc>
          <w:tcPr>
            <w:tcW w:w="415"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宋体"/>
                <w:color w:val="000000"/>
                <w:kern w:val="0"/>
                <w:sz w:val="18"/>
                <w:szCs w:val="18"/>
              </w:rPr>
            </w:pPr>
          </w:p>
        </w:tc>
        <w:tc>
          <w:tcPr>
            <w:tcW w:w="1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甬江干流防潮标准</w:t>
            </w:r>
          </w:p>
        </w:tc>
        <w:tc>
          <w:tcPr>
            <w:tcW w:w="49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重现期</w:t>
            </w:r>
          </w:p>
        </w:tc>
        <w:tc>
          <w:tcPr>
            <w:tcW w:w="49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100</w:t>
            </w:r>
            <w:r>
              <w:rPr>
                <w:rFonts w:hint="eastAsia" w:ascii="Times New Roman" w:hAnsi="Times New Roman" w:eastAsia="宋体" w:cs="Times New Roman"/>
                <w:color w:val="000000"/>
                <w:kern w:val="0"/>
                <w:sz w:val="18"/>
                <w:szCs w:val="18"/>
              </w:rPr>
              <w:t>年</w:t>
            </w:r>
          </w:p>
        </w:tc>
        <w:tc>
          <w:tcPr>
            <w:tcW w:w="540"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100~200</w:t>
            </w:r>
            <w:r>
              <w:rPr>
                <w:rFonts w:hint="eastAsia" w:ascii="Times New Roman" w:hAnsi="Times New Roman" w:eastAsia="宋体" w:cs="Times New Roman"/>
                <w:color w:val="000000"/>
                <w:kern w:val="0"/>
                <w:sz w:val="18"/>
                <w:szCs w:val="18"/>
              </w:rPr>
              <w:t>年</w:t>
            </w:r>
          </w:p>
        </w:tc>
        <w:tc>
          <w:tcPr>
            <w:tcW w:w="542"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200</w:t>
            </w:r>
            <w:r>
              <w:rPr>
                <w:rFonts w:hint="eastAsia" w:ascii="Times New Roman" w:hAnsi="Times New Roman" w:eastAsia="宋体" w:cs="Times New Roman"/>
                <w:color w:val="000000"/>
                <w:kern w:val="0"/>
                <w:sz w:val="18"/>
                <w:szCs w:val="18"/>
              </w:rPr>
              <w:t>年</w:t>
            </w:r>
          </w:p>
        </w:tc>
        <w:tc>
          <w:tcPr>
            <w:tcW w:w="445"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预期性</w:t>
            </w:r>
          </w:p>
        </w:tc>
      </w:tr>
      <w:tr>
        <w:tblPrEx>
          <w:tblCellMar>
            <w:top w:w="0" w:type="dxa"/>
            <w:left w:w="108" w:type="dxa"/>
            <w:bottom w:w="0" w:type="dxa"/>
            <w:right w:w="108" w:type="dxa"/>
          </w:tblCellMar>
        </w:tblPrEx>
        <w:trPr>
          <w:trHeight w:val="397" w:hRule="atLeast"/>
        </w:trPr>
        <w:tc>
          <w:tcPr>
            <w:tcW w:w="49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宋体"/>
                <w:color w:val="000000"/>
                <w:kern w:val="0"/>
                <w:sz w:val="18"/>
                <w:szCs w:val="18"/>
              </w:rPr>
            </w:pPr>
          </w:p>
        </w:tc>
        <w:tc>
          <w:tcPr>
            <w:tcW w:w="31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w:t>
            </w:r>
          </w:p>
        </w:tc>
        <w:tc>
          <w:tcPr>
            <w:tcW w:w="415"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宋体"/>
                <w:color w:val="000000"/>
                <w:kern w:val="0"/>
                <w:sz w:val="18"/>
                <w:szCs w:val="18"/>
              </w:rPr>
            </w:pPr>
          </w:p>
        </w:tc>
        <w:tc>
          <w:tcPr>
            <w:tcW w:w="1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姚江城区段防洪标准</w:t>
            </w:r>
          </w:p>
        </w:tc>
        <w:tc>
          <w:tcPr>
            <w:tcW w:w="49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重现期</w:t>
            </w:r>
          </w:p>
        </w:tc>
        <w:tc>
          <w:tcPr>
            <w:tcW w:w="49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20~100</w:t>
            </w:r>
            <w:r>
              <w:rPr>
                <w:rFonts w:hint="eastAsia" w:ascii="Times New Roman" w:hAnsi="Times New Roman" w:eastAsia="宋体" w:cs="Times New Roman"/>
                <w:color w:val="000000"/>
                <w:kern w:val="0"/>
                <w:sz w:val="18"/>
                <w:szCs w:val="18"/>
              </w:rPr>
              <w:t>年</w:t>
            </w:r>
          </w:p>
        </w:tc>
        <w:tc>
          <w:tcPr>
            <w:tcW w:w="540"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100</w:t>
            </w:r>
            <w:r>
              <w:rPr>
                <w:rFonts w:hint="eastAsia" w:ascii="Times New Roman" w:hAnsi="Times New Roman" w:eastAsia="宋体" w:cs="Times New Roman"/>
                <w:color w:val="000000"/>
                <w:kern w:val="0"/>
                <w:sz w:val="18"/>
                <w:szCs w:val="18"/>
              </w:rPr>
              <w:t>年</w:t>
            </w:r>
          </w:p>
        </w:tc>
        <w:tc>
          <w:tcPr>
            <w:tcW w:w="542"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200</w:t>
            </w:r>
          </w:p>
        </w:tc>
        <w:tc>
          <w:tcPr>
            <w:tcW w:w="445"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预期性</w:t>
            </w:r>
          </w:p>
        </w:tc>
      </w:tr>
      <w:tr>
        <w:tblPrEx>
          <w:tblCellMar>
            <w:top w:w="0" w:type="dxa"/>
            <w:left w:w="108" w:type="dxa"/>
            <w:bottom w:w="0" w:type="dxa"/>
            <w:right w:w="108" w:type="dxa"/>
          </w:tblCellMar>
        </w:tblPrEx>
        <w:trPr>
          <w:trHeight w:val="397" w:hRule="atLeast"/>
        </w:trPr>
        <w:tc>
          <w:tcPr>
            <w:tcW w:w="49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宋体"/>
                <w:color w:val="000000"/>
                <w:kern w:val="0"/>
                <w:sz w:val="18"/>
                <w:szCs w:val="18"/>
              </w:rPr>
            </w:pPr>
          </w:p>
        </w:tc>
        <w:tc>
          <w:tcPr>
            <w:tcW w:w="31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4</w:t>
            </w:r>
          </w:p>
        </w:tc>
        <w:tc>
          <w:tcPr>
            <w:tcW w:w="415"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宋体"/>
                <w:color w:val="000000"/>
                <w:kern w:val="0"/>
                <w:sz w:val="18"/>
                <w:szCs w:val="18"/>
              </w:rPr>
            </w:pPr>
          </w:p>
        </w:tc>
        <w:tc>
          <w:tcPr>
            <w:tcW w:w="1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平原排涝标准</w:t>
            </w:r>
          </w:p>
        </w:tc>
        <w:tc>
          <w:tcPr>
            <w:tcW w:w="49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重现期</w:t>
            </w:r>
          </w:p>
        </w:tc>
        <w:tc>
          <w:tcPr>
            <w:tcW w:w="49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5~10</w:t>
            </w:r>
            <w:r>
              <w:rPr>
                <w:rFonts w:hint="eastAsia" w:ascii="Times New Roman" w:hAnsi="Times New Roman" w:eastAsia="宋体" w:cs="Times New Roman"/>
                <w:color w:val="000000"/>
                <w:kern w:val="0"/>
                <w:sz w:val="18"/>
                <w:szCs w:val="18"/>
              </w:rPr>
              <w:t>年</w:t>
            </w:r>
          </w:p>
        </w:tc>
        <w:tc>
          <w:tcPr>
            <w:tcW w:w="540"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10~50</w:t>
            </w:r>
            <w:r>
              <w:rPr>
                <w:rFonts w:hint="eastAsia" w:ascii="Times New Roman" w:hAnsi="Times New Roman" w:eastAsia="宋体" w:cs="Times New Roman"/>
                <w:color w:val="000000"/>
                <w:kern w:val="0"/>
                <w:sz w:val="18"/>
                <w:szCs w:val="18"/>
              </w:rPr>
              <w:t>年</w:t>
            </w:r>
          </w:p>
        </w:tc>
        <w:tc>
          <w:tcPr>
            <w:tcW w:w="542"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20~50</w:t>
            </w:r>
            <w:r>
              <w:rPr>
                <w:rFonts w:hint="eastAsia" w:ascii="Times New Roman" w:hAnsi="Times New Roman" w:eastAsia="宋体" w:cs="Times New Roman"/>
                <w:color w:val="000000"/>
                <w:kern w:val="0"/>
                <w:sz w:val="18"/>
                <w:szCs w:val="18"/>
              </w:rPr>
              <w:t>年</w:t>
            </w:r>
          </w:p>
        </w:tc>
        <w:tc>
          <w:tcPr>
            <w:tcW w:w="445"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预期性</w:t>
            </w:r>
          </w:p>
        </w:tc>
      </w:tr>
      <w:tr>
        <w:tblPrEx>
          <w:tblCellMar>
            <w:top w:w="0" w:type="dxa"/>
            <w:left w:w="108" w:type="dxa"/>
            <w:bottom w:w="0" w:type="dxa"/>
            <w:right w:w="108" w:type="dxa"/>
          </w:tblCellMar>
        </w:tblPrEx>
        <w:trPr>
          <w:trHeight w:val="397" w:hRule="atLeast"/>
        </w:trPr>
        <w:tc>
          <w:tcPr>
            <w:tcW w:w="49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宋体"/>
                <w:color w:val="000000"/>
                <w:kern w:val="0"/>
                <w:sz w:val="18"/>
                <w:szCs w:val="18"/>
              </w:rPr>
            </w:pPr>
          </w:p>
        </w:tc>
        <w:tc>
          <w:tcPr>
            <w:tcW w:w="31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5</w:t>
            </w:r>
          </w:p>
        </w:tc>
        <w:tc>
          <w:tcPr>
            <w:tcW w:w="415"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宋体"/>
                <w:color w:val="000000"/>
                <w:kern w:val="0"/>
                <w:sz w:val="18"/>
                <w:szCs w:val="18"/>
              </w:rPr>
            </w:pPr>
          </w:p>
        </w:tc>
        <w:tc>
          <w:tcPr>
            <w:tcW w:w="1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新增涝水综合滞蓄空间</w:t>
            </w:r>
          </w:p>
        </w:tc>
        <w:tc>
          <w:tcPr>
            <w:tcW w:w="49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km</w:t>
            </w:r>
            <w:r>
              <w:rPr>
                <w:rFonts w:ascii="Times New Roman" w:hAnsi="Times New Roman" w:eastAsia="宋体" w:cs="Times New Roman"/>
                <w:color w:val="000000"/>
                <w:kern w:val="0"/>
                <w:sz w:val="18"/>
                <w:szCs w:val="18"/>
                <w:vertAlign w:val="superscript"/>
              </w:rPr>
              <w:t>2</w:t>
            </w:r>
          </w:p>
        </w:tc>
        <w:tc>
          <w:tcPr>
            <w:tcW w:w="49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w:t>
            </w:r>
          </w:p>
        </w:tc>
        <w:tc>
          <w:tcPr>
            <w:tcW w:w="540"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w:t>
            </w:r>
            <w:r>
              <w:rPr>
                <w:rFonts w:ascii="Times New Roman" w:hAnsi="Times New Roman" w:eastAsia="宋体" w:cs="Times New Roman"/>
                <w:color w:val="000000"/>
                <w:kern w:val="0"/>
                <w:sz w:val="18"/>
                <w:szCs w:val="18"/>
              </w:rPr>
              <w:t>2.34</w:t>
            </w:r>
          </w:p>
        </w:tc>
        <w:tc>
          <w:tcPr>
            <w:tcW w:w="542"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w:t>
            </w:r>
            <w:r>
              <w:rPr>
                <w:rFonts w:ascii="Times New Roman" w:hAnsi="Times New Roman" w:eastAsia="宋体" w:cs="Times New Roman"/>
                <w:color w:val="000000"/>
                <w:kern w:val="0"/>
                <w:sz w:val="18"/>
                <w:szCs w:val="18"/>
              </w:rPr>
              <w:t>7</w:t>
            </w:r>
          </w:p>
        </w:tc>
        <w:tc>
          <w:tcPr>
            <w:tcW w:w="445"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预期性</w:t>
            </w:r>
          </w:p>
        </w:tc>
      </w:tr>
      <w:tr>
        <w:tblPrEx>
          <w:tblCellMar>
            <w:top w:w="0" w:type="dxa"/>
            <w:left w:w="108" w:type="dxa"/>
            <w:bottom w:w="0" w:type="dxa"/>
            <w:right w:w="108" w:type="dxa"/>
          </w:tblCellMar>
        </w:tblPrEx>
        <w:trPr>
          <w:trHeight w:val="397" w:hRule="atLeast"/>
        </w:trPr>
        <w:tc>
          <w:tcPr>
            <w:tcW w:w="49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宋体"/>
                <w:color w:val="000000"/>
                <w:kern w:val="0"/>
                <w:sz w:val="18"/>
                <w:szCs w:val="18"/>
              </w:rPr>
            </w:pPr>
          </w:p>
        </w:tc>
        <w:tc>
          <w:tcPr>
            <w:tcW w:w="31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6</w:t>
            </w:r>
          </w:p>
        </w:tc>
        <w:tc>
          <w:tcPr>
            <w:tcW w:w="415"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水资源保障</w:t>
            </w:r>
          </w:p>
        </w:tc>
        <w:tc>
          <w:tcPr>
            <w:tcW w:w="1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用水总量</w:t>
            </w:r>
          </w:p>
        </w:tc>
        <w:tc>
          <w:tcPr>
            <w:tcW w:w="49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亿</w:t>
            </w:r>
            <w:r>
              <w:rPr>
                <w:rFonts w:ascii="Times New Roman" w:hAnsi="Times New Roman" w:eastAsia="宋体" w:cs="Times New Roman"/>
                <w:color w:val="000000"/>
                <w:kern w:val="0"/>
                <w:sz w:val="18"/>
                <w:szCs w:val="18"/>
              </w:rPr>
              <w:t>m</w:t>
            </w:r>
            <w:r>
              <w:rPr>
                <w:rFonts w:ascii="Times New Roman" w:hAnsi="Times New Roman" w:eastAsia="宋体" w:cs="Times New Roman"/>
                <w:color w:val="000000"/>
                <w:kern w:val="0"/>
                <w:sz w:val="18"/>
                <w:szCs w:val="18"/>
                <w:vertAlign w:val="superscript"/>
              </w:rPr>
              <w:t>3</w:t>
            </w:r>
          </w:p>
        </w:tc>
        <w:tc>
          <w:tcPr>
            <w:tcW w:w="49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0.71</w:t>
            </w:r>
          </w:p>
        </w:tc>
        <w:tc>
          <w:tcPr>
            <w:tcW w:w="540"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0.97</w:t>
            </w:r>
          </w:p>
        </w:tc>
        <w:tc>
          <w:tcPr>
            <w:tcW w:w="542"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1.1</w:t>
            </w:r>
          </w:p>
        </w:tc>
        <w:tc>
          <w:tcPr>
            <w:tcW w:w="445"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约束性</w:t>
            </w:r>
          </w:p>
        </w:tc>
      </w:tr>
      <w:tr>
        <w:tblPrEx>
          <w:tblCellMar>
            <w:top w:w="0" w:type="dxa"/>
            <w:left w:w="108" w:type="dxa"/>
            <w:bottom w:w="0" w:type="dxa"/>
            <w:right w:w="108" w:type="dxa"/>
          </w:tblCellMar>
        </w:tblPrEx>
        <w:trPr>
          <w:trHeight w:val="397" w:hRule="atLeast"/>
        </w:trPr>
        <w:tc>
          <w:tcPr>
            <w:tcW w:w="49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宋体"/>
                <w:color w:val="000000"/>
                <w:kern w:val="0"/>
                <w:sz w:val="18"/>
                <w:szCs w:val="18"/>
              </w:rPr>
            </w:pPr>
          </w:p>
        </w:tc>
        <w:tc>
          <w:tcPr>
            <w:tcW w:w="31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7</w:t>
            </w:r>
          </w:p>
        </w:tc>
        <w:tc>
          <w:tcPr>
            <w:tcW w:w="415"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宋体"/>
                <w:color w:val="000000"/>
                <w:kern w:val="0"/>
                <w:sz w:val="18"/>
                <w:szCs w:val="18"/>
              </w:rPr>
            </w:pPr>
          </w:p>
        </w:tc>
        <w:tc>
          <w:tcPr>
            <w:tcW w:w="1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生活和工业用水量</w:t>
            </w:r>
          </w:p>
        </w:tc>
        <w:tc>
          <w:tcPr>
            <w:tcW w:w="49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亿</w:t>
            </w:r>
            <w:r>
              <w:rPr>
                <w:rFonts w:ascii="Times New Roman" w:hAnsi="Times New Roman" w:eastAsia="宋体" w:cs="Times New Roman"/>
                <w:color w:val="000000"/>
                <w:kern w:val="0"/>
                <w:sz w:val="18"/>
                <w:szCs w:val="18"/>
              </w:rPr>
              <w:t>m</w:t>
            </w:r>
            <w:r>
              <w:rPr>
                <w:rFonts w:ascii="Times New Roman" w:hAnsi="Times New Roman" w:eastAsia="宋体" w:cs="Times New Roman"/>
                <w:color w:val="000000"/>
                <w:kern w:val="0"/>
                <w:sz w:val="18"/>
                <w:szCs w:val="18"/>
                <w:vertAlign w:val="superscript"/>
              </w:rPr>
              <w:t>3</w:t>
            </w:r>
          </w:p>
        </w:tc>
        <w:tc>
          <w:tcPr>
            <w:tcW w:w="49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0.48</w:t>
            </w:r>
          </w:p>
        </w:tc>
        <w:tc>
          <w:tcPr>
            <w:tcW w:w="540"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0.65</w:t>
            </w:r>
          </w:p>
        </w:tc>
        <w:tc>
          <w:tcPr>
            <w:tcW w:w="542"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0.85</w:t>
            </w:r>
          </w:p>
        </w:tc>
        <w:tc>
          <w:tcPr>
            <w:tcW w:w="445"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约束性</w:t>
            </w:r>
          </w:p>
        </w:tc>
      </w:tr>
      <w:tr>
        <w:tblPrEx>
          <w:tblCellMar>
            <w:top w:w="0" w:type="dxa"/>
            <w:left w:w="108" w:type="dxa"/>
            <w:bottom w:w="0" w:type="dxa"/>
            <w:right w:w="108" w:type="dxa"/>
          </w:tblCellMar>
        </w:tblPrEx>
        <w:trPr>
          <w:trHeight w:val="397" w:hRule="atLeast"/>
        </w:trPr>
        <w:tc>
          <w:tcPr>
            <w:tcW w:w="49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宋体"/>
                <w:color w:val="000000"/>
                <w:kern w:val="0"/>
                <w:sz w:val="18"/>
                <w:szCs w:val="18"/>
              </w:rPr>
            </w:pPr>
          </w:p>
        </w:tc>
        <w:tc>
          <w:tcPr>
            <w:tcW w:w="31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8</w:t>
            </w:r>
          </w:p>
        </w:tc>
        <w:tc>
          <w:tcPr>
            <w:tcW w:w="415"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宋体"/>
                <w:color w:val="000000"/>
                <w:kern w:val="0"/>
                <w:sz w:val="18"/>
                <w:szCs w:val="18"/>
              </w:rPr>
            </w:pPr>
          </w:p>
        </w:tc>
        <w:tc>
          <w:tcPr>
            <w:tcW w:w="1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万元</w:t>
            </w:r>
            <w:r>
              <w:rPr>
                <w:rFonts w:ascii="Times New Roman" w:hAnsi="Times New Roman" w:eastAsia="宋体" w:cs="Times New Roman"/>
                <w:color w:val="000000"/>
                <w:kern w:val="0"/>
                <w:sz w:val="18"/>
                <w:szCs w:val="18"/>
              </w:rPr>
              <w:t>GDP</w:t>
            </w:r>
            <w:r>
              <w:rPr>
                <w:rFonts w:hint="eastAsia" w:ascii="Times New Roman" w:hAnsi="Times New Roman" w:eastAsia="宋体" w:cs="宋体"/>
                <w:color w:val="000000"/>
                <w:kern w:val="0"/>
                <w:sz w:val="18"/>
                <w:szCs w:val="18"/>
              </w:rPr>
              <w:t>用水量</w:t>
            </w:r>
          </w:p>
        </w:tc>
        <w:tc>
          <w:tcPr>
            <w:tcW w:w="49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m</w:t>
            </w:r>
            <w:r>
              <w:rPr>
                <w:rFonts w:ascii="Times New Roman" w:hAnsi="Times New Roman" w:eastAsia="宋体" w:cs="Times New Roman"/>
                <w:color w:val="000000"/>
                <w:kern w:val="0"/>
                <w:sz w:val="18"/>
                <w:szCs w:val="18"/>
                <w:vertAlign w:val="superscript"/>
              </w:rPr>
              <w:t>3</w:t>
            </w:r>
            <w:r>
              <w:rPr>
                <w:rFonts w:ascii="Times New Roman" w:hAnsi="Times New Roman" w:eastAsia="宋体" w:cs="Times New Roman"/>
                <w:color w:val="000000"/>
                <w:kern w:val="0"/>
                <w:sz w:val="18"/>
                <w:szCs w:val="18"/>
              </w:rPr>
              <w:t>/</w:t>
            </w:r>
            <w:r>
              <w:rPr>
                <w:rFonts w:hint="eastAsia" w:ascii="Times New Roman" w:hAnsi="Times New Roman" w:eastAsia="宋体" w:cs="Times New Roman"/>
                <w:color w:val="000000"/>
                <w:kern w:val="0"/>
                <w:sz w:val="18"/>
                <w:szCs w:val="18"/>
              </w:rPr>
              <w:t>万元</w:t>
            </w:r>
          </w:p>
        </w:tc>
        <w:tc>
          <w:tcPr>
            <w:tcW w:w="49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12.23</w:t>
            </w:r>
          </w:p>
        </w:tc>
        <w:tc>
          <w:tcPr>
            <w:tcW w:w="540"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11.9</w:t>
            </w:r>
          </w:p>
        </w:tc>
        <w:tc>
          <w:tcPr>
            <w:tcW w:w="542"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10.76</w:t>
            </w:r>
          </w:p>
        </w:tc>
        <w:tc>
          <w:tcPr>
            <w:tcW w:w="445"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约束性</w:t>
            </w:r>
          </w:p>
        </w:tc>
      </w:tr>
      <w:tr>
        <w:tblPrEx>
          <w:tblCellMar>
            <w:top w:w="0" w:type="dxa"/>
            <w:left w:w="108" w:type="dxa"/>
            <w:bottom w:w="0" w:type="dxa"/>
            <w:right w:w="108" w:type="dxa"/>
          </w:tblCellMar>
        </w:tblPrEx>
        <w:trPr>
          <w:trHeight w:val="397" w:hRule="atLeast"/>
        </w:trPr>
        <w:tc>
          <w:tcPr>
            <w:tcW w:w="49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宋体"/>
                <w:color w:val="000000"/>
                <w:kern w:val="0"/>
                <w:sz w:val="18"/>
                <w:szCs w:val="18"/>
              </w:rPr>
            </w:pPr>
          </w:p>
        </w:tc>
        <w:tc>
          <w:tcPr>
            <w:tcW w:w="31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9</w:t>
            </w:r>
          </w:p>
        </w:tc>
        <w:tc>
          <w:tcPr>
            <w:tcW w:w="415"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宋体"/>
                <w:color w:val="000000"/>
                <w:kern w:val="0"/>
                <w:sz w:val="18"/>
                <w:szCs w:val="18"/>
              </w:rPr>
            </w:pPr>
          </w:p>
        </w:tc>
        <w:tc>
          <w:tcPr>
            <w:tcW w:w="1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万元工业增加值用水量</w:t>
            </w:r>
          </w:p>
        </w:tc>
        <w:tc>
          <w:tcPr>
            <w:tcW w:w="49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m</w:t>
            </w:r>
            <w:r>
              <w:rPr>
                <w:rFonts w:ascii="Times New Roman" w:hAnsi="Times New Roman" w:eastAsia="宋体" w:cs="Times New Roman"/>
                <w:color w:val="000000"/>
                <w:kern w:val="0"/>
                <w:sz w:val="18"/>
                <w:szCs w:val="18"/>
                <w:vertAlign w:val="superscript"/>
              </w:rPr>
              <w:t>3</w:t>
            </w:r>
            <w:r>
              <w:rPr>
                <w:rFonts w:ascii="Times New Roman" w:hAnsi="Times New Roman" w:eastAsia="宋体" w:cs="Times New Roman"/>
                <w:color w:val="000000"/>
                <w:kern w:val="0"/>
                <w:sz w:val="18"/>
                <w:szCs w:val="18"/>
              </w:rPr>
              <w:t>/</w:t>
            </w:r>
            <w:r>
              <w:rPr>
                <w:rFonts w:hint="eastAsia" w:ascii="Times New Roman" w:hAnsi="Times New Roman" w:eastAsia="宋体" w:cs="Times New Roman"/>
                <w:color w:val="000000"/>
                <w:kern w:val="0"/>
                <w:sz w:val="18"/>
                <w:szCs w:val="18"/>
              </w:rPr>
              <w:t>万元</w:t>
            </w:r>
          </w:p>
        </w:tc>
        <w:tc>
          <w:tcPr>
            <w:tcW w:w="49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7.24</w:t>
            </w:r>
          </w:p>
        </w:tc>
        <w:tc>
          <w:tcPr>
            <w:tcW w:w="540"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7</w:t>
            </w:r>
          </w:p>
        </w:tc>
        <w:tc>
          <w:tcPr>
            <w:tcW w:w="542"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6.8</w:t>
            </w:r>
          </w:p>
        </w:tc>
        <w:tc>
          <w:tcPr>
            <w:tcW w:w="445"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约束性</w:t>
            </w:r>
          </w:p>
        </w:tc>
      </w:tr>
      <w:tr>
        <w:tblPrEx>
          <w:tblCellMar>
            <w:top w:w="0" w:type="dxa"/>
            <w:left w:w="108" w:type="dxa"/>
            <w:bottom w:w="0" w:type="dxa"/>
            <w:right w:w="108" w:type="dxa"/>
          </w:tblCellMar>
        </w:tblPrEx>
        <w:trPr>
          <w:trHeight w:val="397" w:hRule="atLeast"/>
        </w:trPr>
        <w:tc>
          <w:tcPr>
            <w:tcW w:w="49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宋体"/>
                <w:color w:val="000000"/>
                <w:kern w:val="0"/>
                <w:sz w:val="18"/>
                <w:szCs w:val="18"/>
              </w:rPr>
            </w:pPr>
          </w:p>
        </w:tc>
        <w:tc>
          <w:tcPr>
            <w:tcW w:w="31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10</w:t>
            </w:r>
          </w:p>
        </w:tc>
        <w:tc>
          <w:tcPr>
            <w:tcW w:w="415"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宋体"/>
                <w:color w:val="000000"/>
                <w:kern w:val="0"/>
                <w:sz w:val="18"/>
                <w:szCs w:val="18"/>
              </w:rPr>
            </w:pPr>
          </w:p>
        </w:tc>
        <w:tc>
          <w:tcPr>
            <w:tcW w:w="124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农灌水有效利用系数</w:t>
            </w:r>
          </w:p>
        </w:tc>
        <w:tc>
          <w:tcPr>
            <w:tcW w:w="49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w:t>
            </w:r>
          </w:p>
        </w:tc>
        <w:tc>
          <w:tcPr>
            <w:tcW w:w="49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0.616</w:t>
            </w:r>
          </w:p>
        </w:tc>
        <w:tc>
          <w:tcPr>
            <w:tcW w:w="540"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0.63</w:t>
            </w:r>
          </w:p>
        </w:tc>
        <w:tc>
          <w:tcPr>
            <w:tcW w:w="542"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0.65</w:t>
            </w:r>
          </w:p>
        </w:tc>
        <w:tc>
          <w:tcPr>
            <w:tcW w:w="445"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约束性</w:t>
            </w:r>
          </w:p>
        </w:tc>
      </w:tr>
      <w:tr>
        <w:tblPrEx>
          <w:tblCellMar>
            <w:top w:w="0" w:type="dxa"/>
            <w:left w:w="108" w:type="dxa"/>
            <w:bottom w:w="0" w:type="dxa"/>
            <w:right w:w="108" w:type="dxa"/>
          </w:tblCellMar>
        </w:tblPrEx>
        <w:trPr>
          <w:trHeight w:val="397" w:hRule="atLeast"/>
        </w:trPr>
        <w:tc>
          <w:tcPr>
            <w:tcW w:w="493"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二、水生态修复</w:t>
            </w:r>
          </w:p>
        </w:tc>
        <w:tc>
          <w:tcPr>
            <w:tcW w:w="31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11</w:t>
            </w:r>
          </w:p>
        </w:tc>
        <w:tc>
          <w:tcPr>
            <w:tcW w:w="1664"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平原水面率（不包括三江）</w:t>
            </w:r>
          </w:p>
        </w:tc>
        <w:tc>
          <w:tcPr>
            <w:tcW w:w="49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w:t>
            </w:r>
          </w:p>
        </w:tc>
        <w:tc>
          <w:tcPr>
            <w:tcW w:w="498"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4.3%</w:t>
            </w:r>
          </w:p>
        </w:tc>
        <w:tc>
          <w:tcPr>
            <w:tcW w:w="540"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4.8%</w:t>
            </w:r>
          </w:p>
        </w:tc>
        <w:tc>
          <w:tcPr>
            <w:tcW w:w="542"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5.0%</w:t>
            </w:r>
          </w:p>
        </w:tc>
        <w:tc>
          <w:tcPr>
            <w:tcW w:w="445"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约束性</w:t>
            </w:r>
          </w:p>
        </w:tc>
      </w:tr>
      <w:tr>
        <w:tblPrEx>
          <w:tblCellMar>
            <w:top w:w="0" w:type="dxa"/>
            <w:left w:w="108" w:type="dxa"/>
            <w:bottom w:w="0" w:type="dxa"/>
            <w:right w:w="108" w:type="dxa"/>
          </w:tblCellMar>
        </w:tblPrEx>
        <w:trPr>
          <w:trHeight w:val="397" w:hRule="atLeast"/>
        </w:trPr>
        <w:tc>
          <w:tcPr>
            <w:tcW w:w="49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宋体"/>
                <w:color w:val="000000"/>
                <w:kern w:val="0"/>
                <w:sz w:val="18"/>
                <w:szCs w:val="18"/>
              </w:rPr>
            </w:pPr>
          </w:p>
        </w:tc>
        <w:tc>
          <w:tcPr>
            <w:tcW w:w="31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12</w:t>
            </w:r>
          </w:p>
        </w:tc>
        <w:tc>
          <w:tcPr>
            <w:tcW w:w="1664"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平原河网环境配水量</w:t>
            </w:r>
          </w:p>
        </w:tc>
        <w:tc>
          <w:tcPr>
            <w:tcW w:w="49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亿</w:t>
            </w:r>
            <w:r>
              <w:rPr>
                <w:rFonts w:ascii="Times New Roman" w:hAnsi="Times New Roman" w:eastAsia="宋体" w:cs="Times New Roman"/>
                <w:color w:val="000000"/>
                <w:kern w:val="0"/>
                <w:sz w:val="18"/>
                <w:szCs w:val="18"/>
              </w:rPr>
              <w:t>m</w:t>
            </w:r>
            <w:r>
              <w:rPr>
                <w:rFonts w:ascii="Times New Roman" w:hAnsi="Times New Roman" w:eastAsia="宋体" w:cs="Times New Roman"/>
                <w:color w:val="000000"/>
                <w:kern w:val="0"/>
                <w:sz w:val="18"/>
                <w:szCs w:val="18"/>
                <w:vertAlign w:val="superscript"/>
              </w:rPr>
              <w:t>3</w:t>
            </w:r>
            <w:r>
              <w:rPr>
                <w:rFonts w:ascii="Times New Roman" w:hAnsi="Times New Roman" w:eastAsia="宋体" w:cs="Times New Roman"/>
                <w:color w:val="000000"/>
                <w:kern w:val="0"/>
                <w:sz w:val="18"/>
                <w:szCs w:val="18"/>
              </w:rPr>
              <w:t>/</w:t>
            </w:r>
            <w:r>
              <w:rPr>
                <w:rFonts w:hint="eastAsia" w:ascii="Times New Roman" w:hAnsi="Times New Roman" w:eastAsia="宋体" w:cs="宋体"/>
                <w:color w:val="000000"/>
                <w:kern w:val="0"/>
                <w:sz w:val="18"/>
                <w:szCs w:val="18"/>
              </w:rPr>
              <w:t>年</w:t>
            </w:r>
          </w:p>
        </w:tc>
        <w:tc>
          <w:tcPr>
            <w:tcW w:w="498"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0.2</w:t>
            </w:r>
          </w:p>
        </w:tc>
        <w:tc>
          <w:tcPr>
            <w:tcW w:w="540"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w:t>
            </w:r>
            <w:r>
              <w:rPr>
                <w:rFonts w:ascii="Times New Roman" w:hAnsi="Times New Roman" w:eastAsia="宋体" w:cs="Times New Roman"/>
                <w:color w:val="000000"/>
                <w:kern w:val="0"/>
                <w:sz w:val="18"/>
                <w:szCs w:val="18"/>
              </w:rPr>
              <w:t>0.65</w:t>
            </w:r>
          </w:p>
        </w:tc>
        <w:tc>
          <w:tcPr>
            <w:tcW w:w="542"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&gt;1.0</w:t>
            </w:r>
          </w:p>
        </w:tc>
        <w:tc>
          <w:tcPr>
            <w:tcW w:w="445"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预期性</w:t>
            </w:r>
          </w:p>
        </w:tc>
      </w:tr>
      <w:tr>
        <w:tblPrEx>
          <w:tblCellMar>
            <w:top w:w="0" w:type="dxa"/>
            <w:left w:w="108" w:type="dxa"/>
            <w:bottom w:w="0" w:type="dxa"/>
            <w:right w:w="108" w:type="dxa"/>
          </w:tblCellMar>
        </w:tblPrEx>
        <w:trPr>
          <w:trHeight w:val="397" w:hRule="atLeast"/>
        </w:trPr>
        <w:tc>
          <w:tcPr>
            <w:tcW w:w="49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宋体"/>
                <w:color w:val="000000"/>
                <w:kern w:val="0"/>
                <w:sz w:val="18"/>
                <w:szCs w:val="18"/>
              </w:rPr>
            </w:pPr>
          </w:p>
        </w:tc>
        <w:tc>
          <w:tcPr>
            <w:tcW w:w="31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13</w:t>
            </w:r>
          </w:p>
        </w:tc>
        <w:tc>
          <w:tcPr>
            <w:tcW w:w="1664"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慈江南岸活水引调覆盖率</w:t>
            </w:r>
          </w:p>
        </w:tc>
        <w:tc>
          <w:tcPr>
            <w:tcW w:w="49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w:t>
            </w:r>
          </w:p>
        </w:tc>
        <w:tc>
          <w:tcPr>
            <w:tcW w:w="498"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20~30</w:t>
            </w:r>
          </w:p>
        </w:tc>
        <w:tc>
          <w:tcPr>
            <w:tcW w:w="540"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&gt;50</w:t>
            </w:r>
          </w:p>
        </w:tc>
        <w:tc>
          <w:tcPr>
            <w:tcW w:w="542"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&gt;80</w:t>
            </w:r>
          </w:p>
        </w:tc>
        <w:tc>
          <w:tcPr>
            <w:tcW w:w="445"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预期性</w:t>
            </w:r>
          </w:p>
        </w:tc>
      </w:tr>
      <w:tr>
        <w:tblPrEx>
          <w:tblCellMar>
            <w:top w:w="0" w:type="dxa"/>
            <w:left w:w="108" w:type="dxa"/>
            <w:bottom w:w="0" w:type="dxa"/>
            <w:right w:w="108" w:type="dxa"/>
          </w:tblCellMar>
        </w:tblPrEx>
        <w:trPr>
          <w:trHeight w:val="397" w:hRule="atLeast"/>
        </w:trPr>
        <w:tc>
          <w:tcPr>
            <w:tcW w:w="493"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三、水文化景观</w:t>
            </w:r>
          </w:p>
        </w:tc>
        <w:tc>
          <w:tcPr>
            <w:tcW w:w="31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14</w:t>
            </w:r>
          </w:p>
        </w:tc>
        <w:tc>
          <w:tcPr>
            <w:tcW w:w="1664"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水文化遗存保护占比</w:t>
            </w:r>
          </w:p>
        </w:tc>
        <w:tc>
          <w:tcPr>
            <w:tcW w:w="49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w:t>
            </w:r>
          </w:p>
        </w:tc>
        <w:tc>
          <w:tcPr>
            <w:tcW w:w="49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w:t>
            </w:r>
          </w:p>
        </w:tc>
        <w:tc>
          <w:tcPr>
            <w:tcW w:w="540"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100</w:t>
            </w:r>
          </w:p>
        </w:tc>
        <w:tc>
          <w:tcPr>
            <w:tcW w:w="542"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100</w:t>
            </w:r>
          </w:p>
        </w:tc>
        <w:tc>
          <w:tcPr>
            <w:tcW w:w="445"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预期性</w:t>
            </w:r>
          </w:p>
        </w:tc>
      </w:tr>
      <w:tr>
        <w:tblPrEx>
          <w:tblCellMar>
            <w:top w:w="0" w:type="dxa"/>
            <w:left w:w="108" w:type="dxa"/>
            <w:bottom w:w="0" w:type="dxa"/>
            <w:right w:w="108" w:type="dxa"/>
          </w:tblCellMar>
        </w:tblPrEx>
        <w:trPr>
          <w:trHeight w:val="397" w:hRule="atLeast"/>
        </w:trPr>
        <w:tc>
          <w:tcPr>
            <w:tcW w:w="49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宋体"/>
                <w:color w:val="000000"/>
                <w:kern w:val="0"/>
                <w:sz w:val="18"/>
                <w:szCs w:val="18"/>
              </w:rPr>
            </w:pPr>
          </w:p>
        </w:tc>
        <w:tc>
          <w:tcPr>
            <w:tcW w:w="31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15</w:t>
            </w:r>
          </w:p>
        </w:tc>
        <w:tc>
          <w:tcPr>
            <w:tcW w:w="1664"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新增水文化载体</w:t>
            </w:r>
          </w:p>
        </w:tc>
        <w:tc>
          <w:tcPr>
            <w:tcW w:w="49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个</w:t>
            </w:r>
          </w:p>
        </w:tc>
        <w:tc>
          <w:tcPr>
            <w:tcW w:w="49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w:t>
            </w:r>
          </w:p>
        </w:tc>
        <w:tc>
          <w:tcPr>
            <w:tcW w:w="540"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≥2</w:t>
            </w:r>
          </w:p>
        </w:tc>
        <w:tc>
          <w:tcPr>
            <w:tcW w:w="542"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≥5</w:t>
            </w:r>
          </w:p>
        </w:tc>
        <w:tc>
          <w:tcPr>
            <w:tcW w:w="445"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预期性</w:t>
            </w:r>
          </w:p>
        </w:tc>
      </w:tr>
      <w:tr>
        <w:tblPrEx>
          <w:tblCellMar>
            <w:top w:w="0" w:type="dxa"/>
            <w:left w:w="108" w:type="dxa"/>
            <w:bottom w:w="0" w:type="dxa"/>
            <w:right w:w="108" w:type="dxa"/>
          </w:tblCellMar>
        </w:tblPrEx>
        <w:trPr>
          <w:trHeight w:val="397" w:hRule="atLeast"/>
        </w:trPr>
        <w:tc>
          <w:tcPr>
            <w:tcW w:w="49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宋体"/>
                <w:color w:val="000000"/>
                <w:kern w:val="0"/>
                <w:sz w:val="18"/>
                <w:szCs w:val="18"/>
              </w:rPr>
            </w:pPr>
          </w:p>
        </w:tc>
        <w:tc>
          <w:tcPr>
            <w:tcW w:w="31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16</w:t>
            </w:r>
          </w:p>
        </w:tc>
        <w:tc>
          <w:tcPr>
            <w:tcW w:w="1664"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幸福河湖数量</w:t>
            </w:r>
          </w:p>
        </w:tc>
        <w:tc>
          <w:tcPr>
            <w:tcW w:w="49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条</w:t>
            </w:r>
          </w:p>
        </w:tc>
        <w:tc>
          <w:tcPr>
            <w:tcW w:w="49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w:t>
            </w:r>
          </w:p>
        </w:tc>
        <w:tc>
          <w:tcPr>
            <w:tcW w:w="540"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w:t>
            </w:r>
          </w:p>
        </w:tc>
        <w:tc>
          <w:tcPr>
            <w:tcW w:w="542"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≥7</w:t>
            </w:r>
          </w:p>
        </w:tc>
        <w:tc>
          <w:tcPr>
            <w:tcW w:w="445"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预期性</w:t>
            </w:r>
          </w:p>
        </w:tc>
      </w:tr>
      <w:tr>
        <w:tblPrEx>
          <w:tblCellMar>
            <w:top w:w="0" w:type="dxa"/>
            <w:left w:w="108" w:type="dxa"/>
            <w:bottom w:w="0" w:type="dxa"/>
            <w:right w:w="108" w:type="dxa"/>
          </w:tblCellMar>
        </w:tblPrEx>
        <w:trPr>
          <w:trHeight w:val="397" w:hRule="atLeast"/>
        </w:trPr>
        <w:tc>
          <w:tcPr>
            <w:tcW w:w="493"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四、水智慧应用</w:t>
            </w:r>
          </w:p>
        </w:tc>
        <w:tc>
          <w:tcPr>
            <w:tcW w:w="31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17</w:t>
            </w:r>
          </w:p>
        </w:tc>
        <w:tc>
          <w:tcPr>
            <w:tcW w:w="1664"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水利基础设施物联感知覆盖率</w:t>
            </w:r>
          </w:p>
        </w:tc>
        <w:tc>
          <w:tcPr>
            <w:tcW w:w="49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w:t>
            </w:r>
          </w:p>
        </w:tc>
        <w:tc>
          <w:tcPr>
            <w:tcW w:w="49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w:t>
            </w:r>
          </w:p>
        </w:tc>
        <w:tc>
          <w:tcPr>
            <w:tcW w:w="540"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≥90</w:t>
            </w:r>
          </w:p>
        </w:tc>
        <w:tc>
          <w:tcPr>
            <w:tcW w:w="542"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100</w:t>
            </w:r>
          </w:p>
        </w:tc>
        <w:tc>
          <w:tcPr>
            <w:tcW w:w="445"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预期性</w:t>
            </w:r>
          </w:p>
        </w:tc>
      </w:tr>
      <w:tr>
        <w:tblPrEx>
          <w:tblCellMar>
            <w:top w:w="0" w:type="dxa"/>
            <w:left w:w="108" w:type="dxa"/>
            <w:bottom w:w="0" w:type="dxa"/>
            <w:right w:w="108" w:type="dxa"/>
          </w:tblCellMar>
        </w:tblPrEx>
        <w:trPr>
          <w:trHeight w:val="397" w:hRule="atLeast"/>
        </w:trPr>
        <w:tc>
          <w:tcPr>
            <w:tcW w:w="49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宋体"/>
                <w:color w:val="000000"/>
                <w:kern w:val="0"/>
                <w:sz w:val="18"/>
                <w:szCs w:val="18"/>
              </w:rPr>
            </w:pPr>
          </w:p>
        </w:tc>
        <w:tc>
          <w:tcPr>
            <w:tcW w:w="31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18</w:t>
            </w:r>
          </w:p>
        </w:tc>
        <w:tc>
          <w:tcPr>
            <w:tcW w:w="1664"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涉水业务综合性管理覆盖率</w:t>
            </w:r>
          </w:p>
        </w:tc>
        <w:tc>
          <w:tcPr>
            <w:tcW w:w="49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w:t>
            </w:r>
          </w:p>
        </w:tc>
        <w:tc>
          <w:tcPr>
            <w:tcW w:w="49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w:t>
            </w:r>
          </w:p>
        </w:tc>
        <w:tc>
          <w:tcPr>
            <w:tcW w:w="540"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≥90</w:t>
            </w:r>
          </w:p>
        </w:tc>
        <w:tc>
          <w:tcPr>
            <w:tcW w:w="542"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100</w:t>
            </w:r>
          </w:p>
        </w:tc>
        <w:tc>
          <w:tcPr>
            <w:tcW w:w="445"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预期性</w:t>
            </w:r>
          </w:p>
        </w:tc>
      </w:tr>
      <w:tr>
        <w:tblPrEx>
          <w:tblCellMar>
            <w:top w:w="0" w:type="dxa"/>
            <w:left w:w="108" w:type="dxa"/>
            <w:bottom w:w="0" w:type="dxa"/>
            <w:right w:w="108" w:type="dxa"/>
          </w:tblCellMar>
        </w:tblPrEx>
        <w:trPr>
          <w:trHeight w:val="397" w:hRule="atLeast"/>
        </w:trPr>
        <w:tc>
          <w:tcPr>
            <w:tcW w:w="49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宋体"/>
                <w:color w:val="000000"/>
                <w:kern w:val="0"/>
                <w:sz w:val="18"/>
                <w:szCs w:val="18"/>
              </w:rPr>
            </w:pPr>
          </w:p>
        </w:tc>
        <w:tc>
          <w:tcPr>
            <w:tcW w:w="31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19</w:t>
            </w:r>
          </w:p>
        </w:tc>
        <w:tc>
          <w:tcPr>
            <w:tcW w:w="1664"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水利设施集控管理度</w:t>
            </w:r>
          </w:p>
        </w:tc>
        <w:tc>
          <w:tcPr>
            <w:tcW w:w="49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w:t>
            </w:r>
          </w:p>
        </w:tc>
        <w:tc>
          <w:tcPr>
            <w:tcW w:w="49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20</w:t>
            </w:r>
          </w:p>
        </w:tc>
        <w:tc>
          <w:tcPr>
            <w:tcW w:w="540"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≥40</w:t>
            </w:r>
          </w:p>
        </w:tc>
        <w:tc>
          <w:tcPr>
            <w:tcW w:w="542"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≥60</w:t>
            </w:r>
          </w:p>
        </w:tc>
        <w:tc>
          <w:tcPr>
            <w:tcW w:w="445"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预期性</w:t>
            </w:r>
          </w:p>
        </w:tc>
      </w:tr>
      <w:tr>
        <w:tblPrEx>
          <w:tblCellMar>
            <w:top w:w="0" w:type="dxa"/>
            <w:left w:w="108" w:type="dxa"/>
            <w:bottom w:w="0" w:type="dxa"/>
            <w:right w:w="108" w:type="dxa"/>
          </w:tblCellMar>
        </w:tblPrEx>
        <w:trPr>
          <w:trHeight w:val="397" w:hRule="atLeast"/>
        </w:trPr>
        <w:tc>
          <w:tcPr>
            <w:tcW w:w="493"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五、现代化水管</w:t>
            </w:r>
          </w:p>
        </w:tc>
        <w:tc>
          <w:tcPr>
            <w:tcW w:w="31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20</w:t>
            </w:r>
          </w:p>
        </w:tc>
        <w:tc>
          <w:tcPr>
            <w:tcW w:w="1664"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重要水利设施安全运行率</w:t>
            </w:r>
          </w:p>
        </w:tc>
        <w:tc>
          <w:tcPr>
            <w:tcW w:w="49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w:t>
            </w:r>
          </w:p>
        </w:tc>
        <w:tc>
          <w:tcPr>
            <w:tcW w:w="49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w:t>
            </w:r>
          </w:p>
        </w:tc>
        <w:tc>
          <w:tcPr>
            <w:tcW w:w="540"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≥95</w:t>
            </w:r>
          </w:p>
        </w:tc>
        <w:tc>
          <w:tcPr>
            <w:tcW w:w="542"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100</w:t>
            </w:r>
          </w:p>
        </w:tc>
        <w:tc>
          <w:tcPr>
            <w:tcW w:w="445"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预期性</w:t>
            </w:r>
          </w:p>
        </w:tc>
      </w:tr>
      <w:tr>
        <w:tblPrEx>
          <w:tblCellMar>
            <w:top w:w="0" w:type="dxa"/>
            <w:left w:w="108" w:type="dxa"/>
            <w:bottom w:w="0" w:type="dxa"/>
            <w:right w:w="108" w:type="dxa"/>
          </w:tblCellMar>
        </w:tblPrEx>
        <w:trPr>
          <w:trHeight w:val="397" w:hRule="atLeast"/>
        </w:trPr>
        <w:tc>
          <w:tcPr>
            <w:tcW w:w="49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宋体"/>
                <w:color w:val="000000"/>
                <w:kern w:val="0"/>
                <w:sz w:val="18"/>
                <w:szCs w:val="18"/>
              </w:rPr>
            </w:pPr>
          </w:p>
        </w:tc>
        <w:tc>
          <w:tcPr>
            <w:tcW w:w="31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21</w:t>
            </w:r>
          </w:p>
        </w:tc>
        <w:tc>
          <w:tcPr>
            <w:tcW w:w="1664"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水利管理高级人才占比</w:t>
            </w:r>
          </w:p>
        </w:tc>
        <w:tc>
          <w:tcPr>
            <w:tcW w:w="49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w:t>
            </w:r>
          </w:p>
        </w:tc>
        <w:tc>
          <w:tcPr>
            <w:tcW w:w="49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17.6</w:t>
            </w:r>
          </w:p>
        </w:tc>
        <w:tc>
          <w:tcPr>
            <w:tcW w:w="540"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≥20</w:t>
            </w:r>
          </w:p>
        </w:tc>
        <w:tc>
          <w:tcPr>
            <w:tcW w:w="542"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w:t>
            </w:r>
            <w:r>
              <w:rPr>
                <w:rFonts w:ascii="Times New Roman" w:hAnsi="Times New Roman" w:eastAsia="宋体" w:cs="Times New Roman"/>
                <w:color w:val="000000"/>
                <w:kern w:val="0"/>
                <w:sz w:val="18"/>
                <w:szCs w:val="18"/>
              </w:rPr>
              <w:t>50</w:t>
            </w:r>
          </w:p>
        </w:tc>
        <w:tc>
          <w:tcPr>
            <w:tcW w:w="445"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预期性</w:t>
            </w:r>
          </w:p>
        </w:tc>
      </w:tr>
      <w:tr>
        <w:tblPrEx>
          <w:tblCellMar>
            <w:top w:w="0" w:type="dxa"/>
            <w:left w:w="108" w:type="dxa"/>
            <w:bottom w:w="0" w:type="dxa"/>
            <w:right w:w="108" w:type="dxa"/>
          </w:tblCellMar>
        </w:tblPrEx>
        <w:trPr>
          <w:trHeight w:val="397" w:hRule="atLeast"/>
        </w:trPr>
        <w:tc>
          <w:tcPr>
            <w:tcW w:w="493"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宋体"/>
                <w:color w:val="000000"/>
                <w:kern w:val="0"/>
                <w:sz w:val="18"/>
                <w:szCs w:val="18"/>
              </w:rPr>
            </w:pPr>
          </w:p>
        </w:tc>
        <w:tc>
          <w:tcPr>
            <w:tcW w:w="31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22</w:t>
            </w:r>
          </w:p>
        </w:tc>
        <w:tc>
          <w:tcPr>
            <w:tcW w:w="1664"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节约用水管理</w:t>
            </w:r>
          </w:p>
        </w:tc>
        <w:tc>
          <w:tcPr>
            <w:tcW w:w="499"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w:t>
            </w:r>
          </w:p>
        </w:tc>
        <w:tc>
          <w:tcPr>
            <w:tcW w:w="498"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w:t>
            </w:r>
          </w:p>
        </w:tc>
        <w:tc>
          <w:tcPr>
            <w:tcW w:w="540"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完成节水型社会创建</w:t>
            </w:r>
          </w:p>
        </w:tc>
        <w:tc>
          <w:tcPr>
            <w:tcW w:w="542"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节水管理达到世界水平</w:t>
            </w:r>
          </w:p>
        </w:tc>
        <w:tc>
          <w:tcPr>
            <w:tcW w:w="445"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宋体"/>
                <w:color w:val="000000"/>
                <w:kern w:val="0"/>
                <w:sz w:val="18"/>
                <w:szCs w:val="18"/>
              </w:rPr>
            </w:pPr>
            <w:r>
              <w:rPr>
                <w:rFonts w:hint="eastAsia" w:ascii="Times New Roman" w:hAnsi="Times New Roman" w:eastAsia="宋体" w:cs="宋体"/>
                <w:color w:val="000000"/>
                <w:kern w:val="0"/>
                <w:sz w:val="18"/>
                <w:szCs w:val="18"/>
              </w:rPr>
              <w:t>预期性</w:t>
            </w:r>
          </w:p>
        </w:tc>
      </w:tr>
    </w:tbl>
    <w:p>
      <w:pPr>
        <w:pStyle w:val="31"/>
        <w:numPr>
          <w:ilvl w:val="0"/>
          <w:numId w:val="1"/>
        </w:numPr>
        <w:tabs>
          <w:tab w:val="left" w:pos="720"/>
        </w:tabs>
        <w:autoSpaceDE w:val="0"/>
        <w:autoSpaceDN w:val="0"/>
        <w:adjustRightInd w:val="0"/>
        <w:spacing w:line="560" w:lineRule="exact"/>
        <w:ind w:hanging="191" w:firstLineChars="0"/>
        <w:rPr>
          <w:rFonts w:ascii="Times New Roman" w:hAnsi="Times New Roman" w:eastAsia="宋体" w:cs="Times New Roman"/>
          <w:sz w:val="24"/>
          <w:szCs w:val="24"/>
        </w:rPr>
        <w:sectPr>
          <w:headerReference r:id="rId9" w:type="default"/>
          <w:pgSz w:w="11906" w:h="16838"/>
          <w:pgMar w:top="1440" w:right="1800" w:bottom="1440" w:left="1800" w:header="851" w:footer="992" w:gutter="0"/>
          <w:pgNumType w:fmt="numberInDash"/>
          <w:cols w:space="425" w:num="1"/>
          <w:docGrid w:type="lines" w:linePitch="312" w:charSpace="0"/>
        </w:sectPr>
      </w:pPr>
    </w:p>
    <w:p>
      <w:pPr>
        <w:keepNext/>
        <w:keepLines/>
        <w:spacing w:before="312" w:beforeLines="100" w:after="312" w:afterLines="100" w:line="540" w:lineRule="exact"/>
        <w:jc w:val="center"/>
        <w:outlineLvl w:val="0"/>
        <w:rPr>
          <w:rFonts w:ascii="Times New Roman" w:hAnsi="Times New Roman" w:eastAsia="黑体" w:cs="Times New Roman"/>
          <w:bCs/>
          <w:kern w:val="44"/>
          <w:sz w:val="36"/>
          <w:szCs w:val="36"/>
        </w:rPr>
      </w:pPr>
      <w:bookmarkStart w:id="8" w:name="_Toc27235"/>
      <w:r>
        <w:rPr>
          <w:rFonts w:hint="eastAsia" w:ascii="Times New Roman" w:hAnsi="Times New Roman" w:eastAsia="黑体" w:cs="Times New Roman"/>
          <w:bCs/>
          <w:kern w:val="44"/>
          <w:sz w:val="36"/>
          <w:szCs w:val="36"/>
        </w:rPr>
        <w:t>第三章  总体布局和重点工程</w:t>
      </w:r>
      <w:bookmarkEnd w:id="8"/>
    </w:p>
    <w:p>
      <w:pPr>
        <w:spacing w:line="58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十四五时期，江北区将紧紧围绕“乡村振兴战略”及高标准水利现代化示范区“江北品质样板”的建设要求，在水利发展补短板、强监管的总基调下，聚焦民生热点，以水为媒，融合发展，着力构建“平安水网、蓝绿水网、幸福水网、智慧水网”水利发展“四张网”，完善五大体系，开启江北水利高标准、品质化、现代化水利发展新格局。</w:t>
      </w:r>
    </w:p>
    <w:p>
      <w:pPr>
        <w:pStyle w:val="3"/>
        <w:spacing w:before="312" w:beforeLines="100" w:after="312" w:afterLines="100" w:line="580" w:lineRule="exact"/>
        <w:jc w:val="center"/>
        <w:rPr>
          <w:rFonts w:ascii="Times New Roman" w:hAnsi="Times New Roman" w:cstheme="minorBidi"/>
          <w:b w:val="0"/>
          <w:bCs w:val="0"/>
          <w:szCs w:val="24"/>
        </w:rPr>
      </w:pPr>
      <w:bookmarkStart w:id="9" w:name="_Toc17118"/>
      <w:r>
        <w:rPr>
          <w:rFonts w:hint="eastAsia" w:ascii="Times New Roman" w:hAnsi="Times New Roman" w:cstheme="minorBidi"/>
          <w:b w:val="0"/>
          <w:bCs w:val="0"/>
          <w:szCs w:val="24"/>
        </w:rPr>
        <w:t>第一节 补齐高标可靠的水灾害防御体系</w:t>
      </w:r>
      <w:bookmarkEnd w:id="9"/>
    </w:p>
    <w:p>
      <w:pPr>
        <w:spacing w:line="58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围绕“防洪、防潮、排涝”防洪减灾安全短板问题，从完善区域防洪减灾体系的角度出发，加快补齐防洪（潮）、排涝短板问题，同时积极推进“蓄滞”空间建设，提升区域洪涝水滞蓄能力，按照“上蓄、外挡、中疏、强排”+“内滞”治理思路，全面构建“三线四片多元”的防洪减灾治理布局，共建“城市大海绵”，打造“高标韧性发展先锋”，高标保障安全。实施重点项目14项，项目总投资41.8亿元，“十四五”期间完成投资20.0亿元。</w:t>
      </w:r>
    </w:p>
    <w:p>
      <w:pPr>
        <w:spacing w:before="156" w:beforeLines="50" w:after="156" w:afterLines="50" w:line="580" w:lineRule="exact"/>
        <w:outlineLvl w:val="2"/>
        <w:rPr>
          <w:rFonts w:ascii="Times New Roman" w:hAnsi="Times New Roman" w:eastAsia="仿宋_GB2312" w:cs="仿宋_GB2312"/>
          <w:b/>
          <w:sz w:val="32"/>
          <w:szCs w:val="32"/>
        </w:rPr>
      </w:pPr>
      <w:r>
        <w:rPr>
          <w:rFonts w:hint="eastAsia" w:ascii="Times New Roman" w:hAnsi="Times New Roman" w:eastAsia="仿宋_GB2312" w:cs="仿宋_GB2312"/>
          <w:b/>
          <w:sz w:val="32"/>
          <w:szCs w:val="32"/>
        </w:rPr>
        <w:t>一、“三线”防洪（潮）工程</w:t>
      </w:r>
    </w:p>
    <w:p>
      <w:pPr>
        <w:spacing w:line="58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由“姚江、甬江、慈江”三线防洪（潮）封闭体系，“十四五”期间，重点加快推进姚江湾头段堤防工程建设，补齐姚江防洪短板；结合甬江北岸地块开发建设，开展甬江干流堤防提标工程建设，提升甬江干流防洪（潮）能力。城区防洪（潮）标准全面提升至100~200年一遇。</w:t>
      </w:r>
    </w:p>
    <w:tbl>
      <w:tblPr>
        <w:tblStyle w:val="20"/>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822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8222" w:type="dxa"/>
          </w:tcPr>
          <w:p>
            <w:pPr>
              <w:pStyle w:val="2"/>
              <w:tabs>
                <w:tab w:val="left" w:pos="420"/>
              </w:tabs>
              <w:spacing w:beforeLines="0" w:afterLines="0" w:line="580" w:lineRule="exact"/>
              <w:ind w:left="425" w:hanging="425"/>
              <w:rPr>
                <w:rFonts w:cs="黑体"/>
                <w:b/>
                <w:bCs w:val="0"/>
                <w:sz w:val="30"/>
                <w:szCs w:val="30"/>
              </w:rPr>
            </w:pPr>
            <w:bookmarkStart w:id="10" w:name="_Toc70413603"/>
            <w:bookmarkStart w:id="11" w:name="_Toc70432067"/>
            <w:bookmarkStart w:id="12" w:name="_Toc73369660"/>
            <w:r>
              <w:rPr>
                <w:rFonts w:hint="eastAsia" w:cs="黑体"/>
                <w:b/>
                <w:bCs w:val="0"/>
                <w:sz w:val="30"/>
                <w:szCs w:val="30"/>
              </w:rPr>
              <w:t>专栏1  “三线”防洪（潮）工程</w:t>
            </w:r>
            <w:bookmarkEnd w:id="10"/>
            <w:bookmarkEnd w:id="11"/>
            <w:bookmarkEnd w:id="12"/>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543" w:hRule="atLeast"/>
          <w:jc w:val="center"/>
        </w:trPr>
        <w:tc>
          <w:tcPr>
            <w:tcW w:w="8222" w:type="dxa"/>
          </w:tcPr>
          <w:p>
            <w:pPr>
              <w:tabs>
                <w:tab w:val="left" w:pos="420"/>
              </w:tabs>
              <w:adjustRightInd w:val="0"/>
              <w:snapToGrid w:val="0"/>
              <w:spacing w:line="340" w:lineRule="exact"/>
              <w:jc w:val="left"/>
              <w:outlineLvl w:val="2"/>
              <w:rPr>
                <w:rFonts w:ascii="Times New Roman" w:hAnsi="Times New Roman" w:eastAsia="黑体" w:cs="黑体"/>
                <w:sz w:val="24"/>
                <w:szCs w:val="24"/>
                <w:lang w:val="en-AU"/>
              </w:rPr>
            </w:pPr>
            <w:r>
              <w:rPr>
                <w:rFonts w:hint="eastAsia" w:ascii="Times New Roman" w:hAnsi="Times New Roman" w:eastAsia="黑体" w:cs="黑体"/>
                <w:sz w:val="24"/>
                <w:szCs w:val="24"/>
                <w:lang w:val="en-AU"/>
              </w:rPr>
              <w:t xml:space="preserve">  姚江湾头段北岸堤防整治工程：</w:t>
            </w:r>
            <w:r>
              <w:rPr>
                <w:rFonts w:hint="eastAsia" w:ascii="Times New Roman" w:hAnsi="Times New Roman" w:eastAsia="楷体_GB2312" w:cs="楷体_GB2312"/>
                <w:spacing w:val="-6"/>
                <w:sz w:val="24"/>
                <w:szCs w:val="24"/>
              </w:rPr>
              <w:t>结合道路工程建设，实施姚江湾头段北岸（江北自来水公司~日湖公园）约2.1km堤防整治。</w:t>
            </w:r>
          </w:p>
          <w:p>
            <w:pPr>
              <w:tabs>
                <w:tab w:val="left" w:pos="420"/>
              </w:tabs>
              <w:adjustRightInd w:val="0"/>
              <w:snapToGrid w:val="0"/>
              <w:spacing w:line="340" w:lineRule="exact"/>
              <w:jc w:val="left"/>
              <w:outlineLvl w:val="2"/>
              <w:rPr>
                <w:rFonts w:ascii="Times New Roman" w:hAnsi="Times New Roman" w:eastAsia="楷体_GB2312" w:cs="楷体_GB2312"/>
                <w:spacing w:val="-6"/>
                <w:sz w:val="24"/>
                <w:szCs w:val="24"/>
              </w:rPr>
            </w:pPr>
            <w:r>
              <w:rPr>
                <w:rFonts w:hint="eastAsia" w:ascii="Times New Roman" w:hAnsi="Times New Roman" w:eastAsia="黑体" w:cs="黑体"/>
                <w:sz w:val="24"/>
                <w:szCs w:val="24"/>
                <w:lang w:val="en-AU"/>
              </w:rPr>
              <w:t xml:space="preserve">  甬江干流堤防提标工程：</w:t>
            </w:r>
            <w:r>
              <w:rPr>
                <w:rFonts w:hint="eastAsia" w:ascii="Times New Roman" w:hAnsi="Times New Roman" w:eastAsia="楷体_GB2312" w:cs="楷体_GB2312"/>
                <w:spacing w:val="-6"/>
                <w:sz w:val="24"/>
                <w:szCs w:val="24"/>
              </w:rPr>
              <w:t>对甬江干流堤防江北段（宁波三江口至双桥）开展建设标准提标前期工作，“十四五”期间完成庆丰桥至孔浦闸段2.4km提标建设。</w:t>
            </w:r>
          </w:p>
          <w:p>
            <w:pPr>
              <w:tabs>
                <w:tab w:val="left" w:pos="420"/>
              </w:tabs>
              <w:adjustRightInd w:val="0"/>
              <w:snapToGrid w:val="0"/>
              <w:spacing w:line="340" w:lineRule="exact"/>
              <w:ind w:firstLine="240" w:firstLineChars="100"/>
              <w:jc w:val="left"/>
              <w:outlineLvl w:val="2"/>
              <w:rPr>
                <w:rFonts w:ascii="Times New Roman" w:hAnsi="Times New Roman" w:eastAsia="黑体" w:cs="黑体"/>
                <w:sz w:val="24"/>
                <w:szCs w:val="24"/>
                <w:lang w:val="en-AU"/>
              </w:rPr>
            </w:pPr>
            <w:r>
              <w:rPr>
                <w:rFonts w:hint="eastAsia" w:ascii="Times New Roman" w:hAnsi="Times New Roman" w:eastAsia="黑体" w:cs="黑体"/>
                <w:sz w:val="24"/>
                <w:szCs w:val="24"/>
                <w:lang w:val="en-AU"/>
              </w:rPr>
              <w:t>慈江铁路桥改扩建工程：</w:t>
            </w:r>
            <w:r>
              <w:rPr>
                <w:rFonts w:hint="eastAsia" w:ascii="Times New Roman" w:hAnsi="Times New Roman" w:eastAsia="楷体_GB2312" w:cs="楷体_GB2312"/>
                <w:spacing w:val="-6"/>
                <w:sz w:val="24"/>
                <w:szCs w:val="24"/>
              </w:rPr>
              <w:t>开展慈江铁路桥扩建工程前期研究，适时启动对萧甬铁路慈江铁路桥卡口改扩建。</w:t>
            </w:r>
          </w:p>
        </w:tc>
      </w:tr>
    </w:tbl>
    <w:p>
      <w:pPr>
        <w:spacing w:before="156" w:beforeLines="50" w:after="156" w:afterLines="50" w:line="580" w:lineRule="exact"/>
        <w:outlineLvl w:val="2"/>
        <w:rPr>
          <w:rFonts w:ascii="Times New Roman" w:hAnsi="Times New Roman" w:eastAsia="仿宋_GB2312" w:cs="仿宋_GB2312"/>
          <w:b/>
          <w:sz w:val="32"/>
          <w:szCs w:val="32"/>
        </w:rPr>
      </w:pPr>
      <w:r>
        <w:rPr>
          <w:rFonts w:hint="eastAsia" w:ascii="Times New Roman" w:hAnsi="Times New Roman" w:eastAsia="仿宋_GB2312" w:cs="仿宋_GB2312"/>
          <w:b/>
          <w:sz w:val="32"/>
          <w:szCs w:val="32"/>
        </w:rPr>
        <w:t>二、“四片“排涝工程</w:t>
      </w:r>
    </w:p>
    <w:p>
      <w:pPr>
        <w:spacing w:line="58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江北平原基本以慈江、官山河、铁路为界，分为“四大排涝分区”，立足于“十四五”期间“3+4”重点区块，以区块为单元，开展区域水系综合治理工作；同时，新增强排泵站，提升区域整体涝水外排能力，保障姚江新城、慈城新城、新兴产业园区等重点开发区块排涝安全。</w:t>
      </w:r>
    </w:p>
    <w:tbl>
      <w:tblPr>
        <w:tblStyle w:val="20"/>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822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8222" w:type="dxa"/>
          </w:tcPr>
          <w:p>
            <w:pPr>
              <w:pStyle w:val="2"/>
              <w:tabs>
                <w:tab w:val="left" w:pos="420"/>
              </w:tabs>
              <w:spacing w:beforeLines="0" w:afterLines="0" w:line="580" w:lineRule="exact"/>
              <w:ind w:left="425" w:hanging="425"/>
              <w:rPr>
                <w:rFonts w:cs="黑体"/>
                <w:b/>
                <w:bCs w:val="0"/>
                <w:sz w:val="30"/>
                <w:szCs w:val="30"/>
              </w:rPr>
            </w:pPr>
            <w:r>
              <w:rPr>
                <w:rFonts w:hint="eastAsia" w:cs="黑体"/>
                <w:b/>
                <w:bCs w:val="0"/>
                <w:sz w:val="30"/>
                <w:szCs w:val="30"/>
              </w:rPr>
              <w:t>专栏2  “四片“排涝工程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543" w:hRule="atLeast"/>
          <w:jc w:val="center"/>
        </w:trPr>
        <w:tc>
          <w:tcPr>
            <w:tcW w:w="8222" w:type="dxa"/>
          </w:tcPr>
          <w:p>
            <w:pPr>
              <w:tabs>
                <w:tab w:val="left" w:pos="420"/>
              </w:tabs>
              <w:adjustRightInd w:val="0"/>
              <w:snapToGrid w:val="0"/>
              <w:spacing w:line="340" w:lineRule="exact"/>
              <w:jc w:val="left"/>
              <w:outlineLvl w:val="2"/>
              <w:rPr>
                <w:rFonts w:ascii="Times New Roman" w:hAnsi="Times New Roman" w:eastAsia="黑体" w:cs="黑体"/>
                <w:sz w:val="24"/>
                <w:szCs w:val="24"/>
                <w:lang w:val="en-AU"/>
              </w:rPr>
            </w:pPr>
            <w:r>
              <w:rPr>
                <w:rFonts w:hint="eastAsia" w:ascii="Times New Roman" w:hAnsi="Times New Roman" w:eastAsia="黑体" w:cs="黑体"/>
                <w:sz w:val="24"/>
                <w:szCs w:val="24"/>
                <w:lang w:val="en-AU"/>
              </w:rPr>
              <w:t xml:space="preserve">  新兴产业育成片水系整治工程：</w:t>
            </w:r>
            <w:r>
              <w:rPr>
                <w:rFonts w:hint="eastAsia" w:ascii="Times New Roman" w:hAnsi="Times New Roman" w:eastAsia="楷体_GB2312" w:cs="楷体_GB2312"/>
                <w:spacing w:val="-6"/>
                <w:sz w:val="24"/>
                <w:szCs w:val="24"/>
              </w:rPr>
              <w:t>治理后大河、排涝河、庄桥河等9.3km。</w:t>
            </w:r>
          </w:p>
          <w:p>
            <w:pPr>
              <w:tabs>
                <w:tab w:val="left" w:pos="420"/>
              </w:tabs>
              <w:adjustRightInd w:val="0"/>
              <w:snapToGrid w:val="0"/>
              <w:spacing w:line="340" w:lineRule="exact"/>
              <w:jc w:val="left"/>
              <w:outlineLvl w:val="2"/>
              <w:rPr>
                <w:rFonts w:ascii="Times New Roman" w:hAnsi="Times New Roman" w:eastAsia="楷体_GB2312" w:cs="楷体_GB2312"/>
                <w:spacing w:val="-6"/>
                <w:sz w:val="24"/>
                <w:szCs w:val="24"/>
              </w:rPr>
            </w:pPr>
            <w:r>
              <w:rPr>
                <w:rFonts w:hint="eastAsia" w:ascii="Times New Roman" w:hAnsi="Times New Roman" w:eastAsia="黑体" w:cs="黑体"/>
                <w:sz w:val="24"/>
                <w:szCs w:val="24"/>
                <w:lang w:val="en-AU"/>
              </w:rPr>
              <w:t xml:space="preserve">  慈城新城一期、二期水系整治工程：</w:t>
            </w:r>
            <w:r>
              <w:rPr>
                <w:rFonts w:hint="eastAsia" w:ascii="Times New Roman" w:hAnsi="Times New Roman" w:eastAsia="楷体_GB2312" w:cs="楷体_GB2312"/>
                <w:spacing w:val="-6"/>
                <w:sz w:val="24"/>
                <w:szCs w:val="24"/>
              </w:rPr>
              <w:t>实施新城一期河道治理1.4km。实施慈城新城二期姚家河、山西河治理及新开河道2.1km。</w:t>
            </w:r>
          </w:p>
          <w:p>
            <w:pPr>
              <w:tabs>
                <w:tab w:val="left" w:pos="420"/>
              </w:tabs>
              <w:adjustRightInd w:val="0"/>
              <w:snapToGrid w:val="0"/>
              <w:spacing w:line="340" w:lineRule="exact"/>
              <w:ind w:firstLine="240" w:firstLineChars="100"/>
              <w:jc w:val="left"/>
              <w:outlineLvl w:val="2"/>
              <w:rPr>
                <w:rFonts w:ascii="Times New Roman" w:hAnsi="Times New Roman" w:eastAsia="楷体_GB2312" w:cs="楷体_GB2312"/>
                <w:spacing w:val="-6"/>
                <w:sz w:val="24"/>
                <w:szCs w:val="24"/>
              </w:rPr>
            </w:pPr>
            <w:r>
              <w:rPr>
                <w:rFonts w:hint="eastAsia" w:ascii="Times New Roman" w:hAnsi="Times New Roman" w:eastAsia="黑体" w:cs="黑体"/>
                <w:sz w:val="24"/>
                <w:szCs w:val="24"/>
              </w:rPr>
              <w:t>姚江新城（前江片区）水系整治工程：</w:t>
            </w:r>
            <w:r>
              <w:rPr>
                <w:rFonts w:hint="eastAsia" w:ascii="Times New Roman" w:hAnsi="Times New Roman" w:eastAsia="楷体_GB2312" w:cs="楷体_GB2312"/>
                <w:spacing w:val="-6"/>
                <w:sz w:val="24"/>
                <w:szCs w:val="24"/>
              </w:rPr>
              <w:t>开展姚江新城（前江片区）水系规划专题研究，适时启动区内骨干河道治理，先期启动裘市大河与茅家河连通河道工程。</w:t>
            </w:r>
          </w:p>
          <w:p>
            <w:pPr>
              <w:tabs>
                <w:tab w:val="left" w:pos="420"/>
              </w:tabs>
              <w:adjustRightInd w:val="0"/>
              <w:snapToGrid w:val="0"/>
              <w:spacing w:line="340" w:lineRule="exact"/>
              <w:ind w:firstLine="240" w:firstLineChars="100"/>
              <w:jc w:val="left"/>
              <w:outlineLvl w:val="2"/>
              <w:rPr>
                <w:rFonts w:ascii="Times New Roman" w:hAnsi="Times New Roman" w:eastAsia="楷体_GB2312" w:cs="楷体_GB2312"/>
                <w:spacing w:val="-6"/>
                <w:sz w:val="24"/>
                <w:szCs w:val="24"/>
              </w:rPr>
            </w:pPr>
            <w:r>
              <w:rPr>
                <w:rFonts w:hint="eastAsia" w:ascii="Times New Roman" w:hAnsi="Times New Roman" w:eastAsia="黑体" w:cs="黑体"/>
                <w:sz w:val="24"/>
                <w:szCs w:val="24"/>
                <w:lang w:val="en-AU"/>
              </w:rPr>
              <w:t>洋市中心河整治工程：</w:t>
            </w:r>
            <w:r>
              <w:rPr>
                <w:rFonts w:hint="eastAsia" w:ascii="Times New Roman" w:hAnsi="Times New Roman" w:eastAsia="楷体_GB2312" w:cs="楷体_GB2312"/>
                <w:spacing w:val="-6"/>
                <w:sz w:val="24"/>
                <w:szCs w:val="24"/>
              </w:rPr>
              <w:t>实施洋市中心河北环高架~洪达路南侧段河道整治，治理长度1.9km。</w:t>
            </w:r>
          </w:p>
          <w:p>
            <w:pPr>
              <w:tabs>
                <w:tab w:val="left" w:pos="420"/>
              </w:tabs>
              <w:adjustRightInd w:val="0"/>
              <w:snapToGrid w:val="0"/>
              <w:spacing w:line="340" w:lineRule="exact"/>
              <w:ind w:firstLine="240" w:firstLineChars="100"/>
              <w:jc w:val="left"/>
              <w:outlineLvl w:val="2"/>
              <w:rPr>
                <w:rFonts w:ascii="Times New Roman" w:hAnsi="Times New Roman" w:eastAsia="楷体_GB2312" w:cs="楷体_GB2312"/>
                <w:spacing w:val="-6"/>
                <w:sz w:val="24"/>
                <w:szCs w:val="24"/>
              </w:rPr>
            </w:pPr>
            <w:r>
              <w:rPr>
                <w:rFonts w:hint="eastAsia" w:ascii="Times New Roman" w:hAnsi="Times New Roman" w:eastAsia="黑体" w:cs="黑体"/>
                <w:sz w:val="24"/>
                <w:szCs w:val="24"/>
                <w:lang w:val="en-AU"/>
              </w:rPr>
              <w:t>浜子港整治工程：</w:t>
            </w:r>
            <w:r>
              <w:rPr>
                <w:rFonts w:hint="eastAsia" w:ascii="Times New Roman" w:hAnsi="Times New Roman" w:eastAsia="楷体_GB2312" w:cs="楷体_GB2312"/>
                <w:spacing w:val="-6"/>
                <w:sz w:val="24"/>
                <w:szCs w:val="24"/>
              </w:rPr>
              <w:t xml:space="preserve">实施浜子港庄桥河～慈海南路段河道整治，治理长度2.8km。 </w:t>
            </w:r>
          </w:p>
          <w:p>
            <w:pPr>
              <w:tabs>
                <w:tab w:val="left" w:pos="420"/>
              </w:tabs>
              <w:adjustRightInd w:val="0"/>
              <w:snapToGrid w:val="0"/>
              <w:spacing w:line="340" w:lineRule="exact"/>
              <w:ind w:firstLine="240" w:firstLineChars="100"/>
              <w:jc w:val="left"/>
              <w:outlineLvl w:val="2"/>
              <w:rPr>
                <w:rFonts w:ascii="Times New Roman" w:hAnsi="Times New Roman" w:eastAsia="黑体" w:cs="黑体"/>
                <w:sz w:val="24"/>
                <w:szCs w:val="24"/>
              </w:rPr>
            </w:pPr>
            <w:r>
              <w:rPr>
                <w:rFonts w:hint="eastAsia" w:ascii="Times New Roman" w:hAnsi="Times New Roman" w:eastAsia="黑体" w:cs="黑体"/>
                <w:sz w:val="24"/>
                <w:szCs w:val="24"/>
                <w:lang w:val="en-AU"/>
              </w:rPr>
              <w:t>沿江排涝闸泵工程：</w:t>
            </w:r>
            <w:r>
              <w:rPr>
                <w:rFonts w:hint="eastAsia" w:ascii="Times New Roman" w:hAnsi="Times New Roman" w:eastAsia="楷体_GB2312" w:cs="楷体_GB2312"/>
                <w:spacing w:val="-6"/>
                <w:sz w:val="24"/>
                <w:szCs w:val="24"/>
              </w:rPr>
              <w:t>开展沿线小洋桥泵、小西坝排涝泵、下梁闸排涝泵、李碶渡闸泵等4座排涝泵站工程建设，结合清水环通工程，实施洋市中心泵。</w:t>
            </w:r>
          </w:p>
        </w:tc>
      </w:tr>
    </w:tbl>
    <w:p>
      <w:pPr>
        <w:spacing w:before="156" w:beforeLines="50" w:after="156" w:afterLines="50" w:line="580" w:lineRule="exact"/>
        <w:outlineLvl w:val="2"/>
        <w:rPr>
          <w:rFonts w:ascii="Times New Roman" w:hAnsi="Times New Roman" w:eastAsia="仿宋_GB2312" w:cs="仿宋_GB2312"/>
          <w:b/>
          <w:sz w:val="32"/>
          <w:szCs w:val="32"/>
        </w:rPr>
      </w:pPr>
      <w:r>
        <w:rPr>
          <w:rFonts w:hint="eastAsia" w:ascii="Times New Roman" w:hAnsi="Times New Roman" w:eastAsia="仿宋_GB2312" w:cs="仿宋_GB2312"/>
          <w:b/>
          <w:sz w:val="32"/>
          <w:szCs w:val="32"/>
        </w:rPr>
        <w:t>三、“多元”蓄滞工程</w:t>
      </w:r>
    </w:p>
    <w:p>
      <w:pPr>
        <w:spacing w:line="58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打破现有“就水利看水利”的思维定势，有效利用现有农田、湿地、绿地等低洼调蓄空间，将“蓄、排”有机结合，提升洪涝水滞蓄能力，同时实现“洪水防御与农业生产”的双重效益。同时继续推进水库、山塘安全鉴定及除险加固工作，保障上游山区防洪安全。</w:t>
      </w:r>
    </w:p>
    <w:tbl>
      <w:tblPr>
        <w:tblStyle w:val="20"/>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822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8222" w:type="dxa"/>
          </w:tcPr>
          <w:p>
            <w:pPr>
              <w:pStyle w:val="2"/>
              <w:tabs>
                <w:tab w:val="left" w:pos="420"/>
              </w:tabs>
              <w:spacing w:beforeLines="0" w:afterLines="0" w:line="580" w:lineRule="exact"/>
              <w:ind w:left="425" w:hanging="425"/>
              <w:rPr>
                <w:rFonts w:cs="黑体"/>
                <w:b/>
                <w:bCs w:val="0"/>
                <w:sz w:val="30"/>
                <w:szCs w:val="30"/>
              </w:rPr>
            </w:pPr>
            <w:r>
              <w:rPr>
                <w:rFonts w:hint="eastAsia" w:cs="黑体"/>
                <w:b/>
                <w:bCs w:val="0"/>
                <w:sz w:val="30"/>
                <w:szCs w:val="30"/>
              </w:rPr>
              <w:t>专栏3  “多元”蓄滞工程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543" w:hRule="atLeast"/>
          <w:jc w:val="center"/>
        </w:trPr>
        <w:tc>
          <w:tcPr>
            <w:tcW w:w="8222" w:type="dxa"/>
          </w:tcPr>
          <w:p>
            <w:pPr>
              <w:tabs>
                <w:tab w:val="left" w:pos="420"/>
              </w:tabs>
              <w:adjustRightInd w:val="0"/>
              <w:snapToGrid w:val="0"/>
              <w:spacing w:line="340" w:lineRule="exact"/>
              <w:jc w:val="left"/>
              <w:outlineLvl w:val="2"/>
              <w:rPr>
                <w:rFonts w:ascii="Times New Roman" w:hAnsi="Times New Roman" w:eastAsia="黑体" w:cs="黑体"/>
                <w:sz w:val="24"/>
                <w:szCs w:val="24"/>
                <w:lang w:val="en-AU"/>
              </w:rPr>
            </w:pPr>
            <w:r>
              <w:rPr>
                <w:rFonts w:hint="eastAsia" w:ascii="Times New Roman" w:hAnsi="Times New Roman" w:eastAsia="黑体" w:cs="黑体"/>
                <w:sz w:val="24"/>
                <w:szCs w:val="24"/>
                <w:lang w:val="en-AU"/>
              </w:rPr>
              <w:t xml:space="preserve">  小型水库山塘除险加固工程：</w:t>
            </w:r>
            <w:r>
              <w:rPr>
                <w:rFonts w:hint="eastAsia" w:ascii="Times New Roman" w:hAnsi="Times New Roman" w:eastAsia="楷体_GB2312" w:cs="楷体_GB2312"/>
                <w:spacing w:val="-6"/>
                <w:sz w:val="24"/>
                <w:szCs w:val="24"/>
              </w:rPr>
              <w:t>对区域内英雄水库、毛力水库、荪湖水库、五婆湖水库、姜湖水库及各山塘开展除险加固工程。</w:t>
            </w:r>
          </w:p>
          <w:p>
            <w:pPr>
              <w:tabs>
                <w:tab w:val="left" w:pos="420"/>
              </w:tabs>
              <w:adjustRightInd w:val="0"/>
              <w:snapToGrid w:val="0"/>
              <w:spacing w:line="340" w:lineRule="exact"/>
              <w:jc w:val="left"/>
              <w:outlineLvl w:val="2"/>
              <w:rPr>
                <w:rFonts w:ascii="Times New Roman" w:hAnsi="Times New Roman" w:eastAsia="楷体_GB2312" w:cs="楷体_GB2312"/>
                <w:spacing w:val="-6"/>
                <w:sz w:val="24"/>
                <w:szCs w:val="24"/>
              </w:rPr>
            </w:pPr>
            <w:r>
              <w:rPr>
                <w:rFonts w:hint="eastAsia" w:ascii="Times New Roman" w:hAnsi="Times New Roman" w:eastAsia="黑体" w:cs="黑体"/>
                <w:sz w:val="24"/>
                <w:szCs w:val="24"/>
                <w:lang w:val="en-AU"/>
              </w:rPr>
              <w:t xml:space="preserve">  水闸、泵站、堤防安全鉴定：</w:t>
            </w:r>
            <w:r>
              <w:rPr>
                <w:rFonts w:hint="eastAsia" w:ascii="Times New Roman" w:hAnsi="Times New Roman" w:eastAsia="楷体_GB2312" w:cs="楷体_GB2312"/>
                <w:spacing w:val="-6"/>
                <w:sz w:val="24"/>
                <w:szCs w:val="24"/>
              </w:rPr>
              <w:t>对全区88座水闸、20座泵站及15条堤防实施安全鉴定。</w:t>
            </w:r>
          </w:p>
          <w:p>
            <w:pPr>
              <w:tabs>
                <w:tab w:val="left" w:pos="420"/>
              </w:tabs>
              <w:adjustRightInd w:val="0"/>
              <w:snapToGrid w:val="0"/>
              <w:spacing w:line="340" w:lineRule="exact"/>
              <w:ind w:firstLine="240" w:firstLineChars="100"/>
              <w:jc w:val="left"/>
              <w:outlineLvl w:val="2"/>
              <w:rPr>
                <w:rFonts w:ascii="Times New Roman" w:hAnsi="Times New Roman" w:eastAsia="楷体_GB2312" w:cs="楷体_GB2312"/>
                <w:spacing w:val="-6"/>
                <w:sz w:val="24"/>
                <w:szCs w:val="24"/>
              </w:rPr>
            </w:pPr>
            <w:r>
              <w:rPr>
                <w:rFonts w:hint="eastAsia" w:ascii="Times New Roman" w:hAnsi="Times New Roman" w:eastAsia="黑体" w:cs="黑体"/>
                <w:sz w:val="24"/>
                <w:szCs w:val="24"/>
                <w:lang w:val="en-AU"/>
              </w:rPr>
              <w:t>慈江北岸蓄滞工程：</w:t>
            </w:r>
            <w:r>
              <w:rPr>
                <w:rFonts w:hint="eastAsia" w:ascii="Times New Roman" w:hAnsi="Times New Roman" w:eastAsia="楷体_GB2312" w:cs="楷体_GB2312"/>
                <w:spacing w:val="-6"/>
                <w:sz w:val="24"/>
                <w:szCs w:val="24"/>
              </w:rPr>
              <w:t>整治慈江以北的东城河、西城河等骨干河道，开展慈城妙山片海绵农田建设；建设慈湖引排闸泵2座，配套蓄滞提升调度方案研究。</w:t>
            </w:r>
          </w:p>
          <w:p>
            <w:pPr>
              <w:tabs>
                <w:tab w:val="left" w:pos="420"/>
              </w:tabs>
              <w:adjustRightInd w:val="0"/>
              <w:snapToGrid w:val="0"/>
              <w:spacing w:line="340" w:lineRule="exact"/>
              <w:ind w:firstLine="240" w:firstLineChars="100"/>
              <w:jc w:val="left"/>
              <w:outlineLvl w:val="2"/>
              <w:rPr>
                <w:rFonts w:ascii="Times New Roman" w:hAnsi="Times New Roman" w:eastAsia="黑体" w:cs="黑体"/>
                <w:sz w:val="24"/>
                <w:szCs w:val="24"/>
              </w:rPr>
            </w:pPr>
            <w:r>
              <w:rPr>
                <w:rFonts w:hint="eastAsia" w:ascii="Times New Roman" w:hAnsi="Times New Roman" w:eastAsia="黑体" w:cs="黑体"/>
                <w:sz w:val="24"/>
                <w:szCs w:val="24"/>
                <w:lang w:val="en-AU"/>
              </w:rPr>
              <w:t>慈江北岸铁路卡口打通工程：</w:t>
            </w:r>
            <w:r>
              <w:rPr>
                <w:rFonts w:hint="eastAsia" w:ascii="Times New Roman" w:hAnsi="Times New Roman" w:eastAsia="楷体_GB2312" w:cs="楷体_GB2312"/>
                <w:spacing w:val="-6"/>
                <w:sz w:val="24"/>
                <w:szCs w:val="24"/>
              </w:rPr>
              <w:t>对慈江北岸7处铁路卡口开展打通工程前期研究，“十四五”期间实施铁路桥跨东大河、西城河、封河、湖塘河4处卡口打通。</w:t>
            </w:r>
          </w:p>
        </w:tc>
      </w:tr>
    </w:tbl>
    <w:p>
      <w:pPr>
        <w:pStyle w:val="3"/>
        <w:spacing w:before="312" w:beforeLines="100" w:after="312" w:afterLines="100" w:line="580" w:lineRule="exact"/>
        <w:jc w:val="center"/>
        <w:rPr>
          <w:rFonts w:ascii="Times New Roman" w:hAnsi="Times New Roman" w:cstheme="minorBidi"/>
          <w:b w:val="0"/>
          <w:bCs w:val="0"/>
          <w:szCs w:val="24"/>
        </w:rPr>
      </w:pPr>
      <w:bookmarkStart w:id="13" w:name="_Toc32636"/>
      <w:r>
        <w:rPr>
          <w:rFonts w:hint="eastAsia" w:ascii="Times New Roman" w:hAnsi="Times New Roman" w:cstheme="minorBidi"/>
          <w:b w:val="0"/>
          <w:bCs w:val="0"/>
          <w:szCs w:val="24"/>
        </w:rPr>
        <w:t>第二节 提升健康长效的水生态修复体系</w:t>
      </w:r>
      <w:bookmarkEnd w:id="13"/>
    </w:p>
    <w:p>
      <w:pPr>
        <w:spacing w:line="58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结合“两区”、“九脉”生态格局建设，支撑推进“3+4”重点区域、农旅“四大片区”发展，以安全为核心，融合“生态+”治理手段，同时与滨水品质城区、多彩田园建设等要素融合，以控源截污为前提，以引水活水为基础，以生态提升为补充，从“污染防控，引水活水、生态提升”三个层面，多措并举实施水生态环境治理修复工作，构建“双控四源四线八片多点”的水生态修复体系，共建“城市蓝绿水网”，打造“滨水品质标杆”，擦亮城市底色。实施重点项目14项，项目总投资44.7亿元，“十四五”期间完成投资9.8亿元。</w:t>
      </w:r>
    </w:p>
    <w:p>
      <w:pPr>
        <w:spacing w:before="156" w:beforeLines="50" w:after="156" w:afterLines="50" w:line="580" w:lineRule="exact"/>
        <w:outlineLvl w:val="2"/>
        <w:rPr>
          <w:rFonts w:ascii="Times New Roman" w:hAnsi="Times New Roman" w:eastAsia="仿宋_GB2312" w:cs="仿宋_GB2312"/>
          <w:b/>
          <w:sz w:val="32"/>
          <w:szCs w:val="32"/>
        </w:rPr>
      </w:pPr>
      <w:r>
        <w:rPr>
          <w:rFonts w:hint="eastAsia" w:ascii="Times New Roman" w:hAnsi="Times New Roman" w:eastAsia="仿宋_GB2312" w:cs="仿宋_GB2312"/>
          <w:b/>
          <w:sz w:val="32"/>
          <w:szCs w:val="32"/>
        </w:rPr>
        <w:t>一、“双控”——“面源污染、污水排放”双重控制</w:t>
      </w:r>
    </w:p>
    <w:p>
      <w:pPr>
        <w:spacing w:line="58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加强面源污染防控，全面开展海绵城市、海绵农田、田园湿地等建设，控制农业面源污染、城市径流污染、初期雨水冲刷污染等，降低入河污染物浓度，提高河道水质标准。</w:t>
      </w:r>
    </w:p>
    <w:tbl>
      <w:tblPr>
        <w:tblStyle w:val="20"/>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822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8222" w:type="dxa"/>
          </w:tcPr>
          <w:p>
            <w:pPr>
              <w:pStyle w:val="2"/>
              <w:tabs>
                <w:tab w:val="left" w:pos="420"/>
              </w:tabs>
              <w:spacing w:beforeLines="0" w:afterLines="0" w:line="580" w:lineRule="exact"/>
              <w:ind w:left="425" w:hanging="425"/>
              <w:rPr>
                <w:rFonts w:cs="黑体"/>
                <w:b/>
                <w:bCs w:val="0"/>
                <w:sz w:val="30"/>
                <w:szCs w:val="30"/>
              </w:rPr>
            </w:pPr>
            <w:r>
              <w:rPr>
                <w:rFonts w:hint="eastAsia" w:cs="黑体"/>
                <w:b/>
                <w:bCs w:val="0"/>
                <w:sz w:val="30"/>
                <w:szCs w:val="30"/>
              </w:rPr>
              <w:t>专栏4  污染防控工程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543" w:hRule="atLeast"/>
          <w:jc w:val="center"/>
        </w:trPr>
        <w:tc>
          <w:tcPr>
            <w:tcW w:w="8222" w:type="dxa"/>
          </w:tcPr>
          <w:p>
            <w:pPr>
              <w:tabs>
                <w:tab w:val="left" w:pos="420"/>
              </w:tabs>
              <w:adjustRightInd w:val="0"/>
              <w:snapToGrid w:val="0"/>
              <w:spacing w:line="340" w:lineRule="exact"/>
              <w:jc w:val="left"/>
              <w:outlineLvl w:val="2"/>
              <w:rPr>
                <w:rFonts w:ascii="Times New Roman" w:hAnsi="Times New Roman" w:eastAsia="黑体" w:cs="黑体"/>
                <w:sz w:val="24"/>
                <w:szCs w:val="24"/>
                <w:lang w:val="en-AU"/>
              </w:rPr>
            </w:pPr>
            <w:r>
              <w:rPr>
                <w:rFonts w:hint="eastAsia" w:ascii="Times New Roman" w:hAnsi="Times New Roman" w:eastAsia="黑体" w:cs="黑体"/>
                <w:sz w:val="24"/>
                <w:szCs w:val="24"/>
                <w:lang w:val="en-AU"/>
              </w:rPr>
              <w:t xml:space="preserve">  田园“海绵+”工程：</w:t>
            </w:r>
            <w:r>
              <w:rPr>
                <w:rFonts w:hint="eastAsia" w:ascii="Times New Roman" w:hAnsi="Times New Roman" w:eastAsia="楷体_GB2312" w:cs="楷体_GB2312"/>
                <w:spacing w:val="-6"/>
                <w:sz w:val="24"/>
                <w:szCs w:val="24"/>
              </w:rPr>
              <w:t>加快田园湿地改造，实施城市庄园休闲田园片“海绵+”工程。</w:t>
            </w:r>
          </w:p>
          <w:p>
            <w:pPr>
              <w:tabs>
                <w:tab w:val="left" w:pos="420"/>
              </w:tabs>
              <w:adjustRightInd w:val="0"/>
              <w:snapToGrid w:val="0"/>
              <w:spacing w:line="340" w:lineRule="exact"/>
              <w:jc w:val="left"/>
              <w:outlineLvl w:val="2"/>
              <w:rPr>
                <w:rFonts w:ascii="Times New Roman" w:hAnsi="Times New Roman" w:eastAsia="楷体_GB2312" w:cs="楷体_GB2312"/>
                <w:spacing w:val="-6"/>
                <w:sz w:val="24"/>
                <w:szCs w:val="24"/>
              </w:rPr>
            </w:pPr>
            <w:r>
              <w:rPr>
                <w:rFonts w:hint="eastAsia" w:ascii="Times New Roman" w:hAnsi="Times New Roman" w:eastAsia="黑体" w:cs="黑体"/>
                <w:sz w:val="24"/>
                <w:szCs w:val="24"/>
                <w:lang w:val="en-AU"/>
              </w:rPr>
              <w:t xml:space="preserve">  江北区下沉式再生水厂（一期）工程：</w:t>
            </w:r>
            <w:r>
              <w:rPr>
                <w:rFonts w:hint="eastAsia" w:ascii="Times New Roman" w:hAnsi="Times New Roman" w:eastAsia="楷体_GB2312" w:cs="楷体_GB2312"/>
                <w:spacing w:val="-6"/>
                <w:sz w:val="24"/>
                <w:szCs w:val="24"/>
              </w:rPr>
              <w:t>新增污水处理厂一座，出水执行浙江省省标。</w:t>
            </w:r>
          </w:p>
          <w:p>
            <w:pPr>
              <w:tabs>
                <w:tab w:val="left" w:pos="420"/>
              </w:tabs>
              <w:adjustRightInd w:val="0"/>
              <w:snapToGrid w:val="0"/>
              <w:spacing w:line="340" w:lineRule="exact"/>
              <w:ind w:firstLine="240" w:firstLineChars="100"/>
              <w:jc w:val="left"/>
              <w:outlineLvl w:val="2"/>
              <w:rPr>
                <w:rFonts w:ascii="Times New Roman" w:hAnsi="Times New Roman" w:eastAsia="黑体" w:cs="黑体"/>
                <w:sz w:val="24"/>
                <w:szCs w:val="24"/>
              </w:rPr>
            </w:pPr>
            <w:r>
              <w:rPr>
                <w:rFonts w:hint="eastAsia" w:ascii="Times New Roman" w:hAnsi="Times New Roman" w:eastAsia="黑体" w:cs="黑体"/>
                <w:sz w:val="24"/>
                <w:szCs w:val="24"/>
                <w:lang w:val="en-AU"/>
              </w:rPr>
              <w:t>截污治污工程：</w:t>
            </w:r>
            <w:r>
              <w:rPr>
                <w:rFonts w:hint="eastAsia" w:ascii="Times New Roman" w:hAnsi="Times New Roman" w:eastAsia="楷体_GB2312" w:cs="楷体_GB2312"/>
                <w:spacing w:val="-6"/>
                <w:sz w:val="24"/>
                <w:szCs w:val="24"/>
              </w:rPr>
              <w:t>对江北区截污排污治理情况、雨污分流情况等进行全面摸排；实施污水管网摸排和维修，雨污分流改造工程；实施分散式污水处理终端建设；开展分散式污水调蓄池布设方案研究工作。</w:t>
            </w:r>
          </w:p>
        </w:tc>
      </w:tr>
    </w:tbl>
    <w:p>
      <w:pPr>
        <w:spacing w:before="156" w:beforeLines="50" w:after="156" w:afterLines="50" w:line="580" w:lineRule="exact"/>
        <w:outlineLvl w:val="2"/>
        <w:rPr>
          <w:rFonts w:ascii="Times New Roman" w:hAnsi="Times New Roman" w:eastAsia="仿宋_GB2312" w:cs="仿宋_GB2312"/>
          <w:b/>
          <w:sz w:val="32"/>
          <w:szCs w:val="32"/>
        </w:rPr>
      </w:pPr>
      <w:r>
        <w:rPr>
          <w:rFonts w:hint="eastAsia" w:ascii="Times New Roman" w:hAnsi="Times New Roman" w:eastAsia="仿宋_GB2312" w:cs="仿宋_GB2312"/>
          <w:b/>
          <w:sz w:val="32"/>
          <w:szCs w:val="32"/>
        </w:rPr>
        <w:t>二、“四源四线”——“引水活水”，构建区域活水主动脉</w:t>
      </w:r>
    </w:p>
    <w:p>
      <w:pPr>
        <w:spacing w:line="58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加大非常规水源利用，结合区域污水处理设施建设，配套再生水回用输水管道，利用再生水回补河道景观用水。同时立足于“慈江、姚江”南北双源，以贯穿平原的南北向主河道为脉，引姚江、慈江水入平原，实施清水环通，激活老城“水动力”，同时打通平原东西向“主动脉”，自西向东贯穿全城，活水引调。</w:t>
      </w:r>
    </w:p>
    <w:tbl>
      <w:tblPr>
        <w:tblStyle w:val="20"/>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822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8222" w:type="dxa"/>
          </w:tcPr>
          <w:p>
            <w:pPr>
              <w:pStyle w:val="2"/>
              <w:tabs>
                <w:tab w:val="left" w:pos="420"/>
              </w:tabs>
              <w:spacing w:beforeLines="0" w:afterLines="0" w:line="580" w:lineRule="exact"/>
              <w:ind w:left="425" w:hanging="425"/>
              <w:rPr>
                <w:rFonts w:cs="黑体"/>
                <w:b/>
                <w:bCs w:val="0"/>
                <w:sz w:val="30"/>
                <w:szCs w:val="30"/>
              </w:rPr>
            </w:pPr>
            <w:r>
              <w:rPr>
                <w:rFonts w:hint="eastAsia" w:cs="黑体"/>
                <w:b/>
                <w:bCs w:val="0"/>
                <w:sz w:val="30"/>
                <w:szCs w:val="30"/>
              </w:rPr>
              <w:t>专栏5  引水活水工程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543" w:hRule="atLeast"/>
          <w:jc w:val="center"/>
        </w:trPr>
        <w:tc>
          <w:tcPr>
            <w:tcW w:w="8222" w:type="dxa"/>
          </w:tcPr>
          <w:p>
            <w:pPr>
              <w:tabs>
                <w:tab w:val="left" w:pos="420"/>
              </w:tabs>
              <w:adjustRightInd w:val="0"/>
              <w:snapToGrid w:val="0"/>
              <w:spacing w:line="340" w:lineRule="exact"/>
              <w:jc w:val="left"/>
              <w:outlineLvl w:val="2"/>
              <w:rPr>
                <w:rFonts w:ascii="Times New Roman" w:hAnsi="Times New Roman" w:eastAsia="黑体" w:cs="黑体"/>
                <w:sz w:val="24"/>
                <w:szCs w:val="24"/>
                <w:lang w:val="en-AU"/>
              </w:rPr>
            </w:pPr>
            <w:r>
              <w:rPr>
                <w:rFonts w:hint="eastAsia" w:ascii="Times New Roman" w:hAnsi="Times New Roman" w:eastAsia="黑体" w:cs="黑体"/>
                <w:sz w:val="24"/>
                <w:szCs w:val="24"/>
                <w:lang w:val="en-AU"/>
              </w:rPr>
              <w:t xml:space="preserve">  沿江引水泵站工程：</w:t>
            </w:r>
            <w:r>
              <w:rPr>
                <w:rFonts w:hint="eastAsia" w:ascii="Times New Roman" w:hAnsi="Times New Roman" w:eastAsia="楷体_GB2312" w:cs="楷体_GB2312"/>
                <w:spacing w:val="-6"/>
                <w:sz w:val="24"/>
                <w:szCs w:val="24"/>
              </w:rPr>
              <w:t>新增引水泵站5座，总规模21m</w:t>
            </w:r>
            <w:r>
              <w:rPr>
                <w:rFonts w:hint="eastAsia" w:ascii="Times New Roman" w:hAnsi="Times New Roman" w:eastAsia="楷体_GB2312" w:cs="楷体_GB2312"/>
                <w:spacing w:val="-6"/>
                <w:sz w:val="24"/>
                <w:szCs w:val="24"/>
                <w:vertAlign w:val="superscript"/>
              </w:rPr>
              <w:t>3</w:t>
            </w:r>
            <w:r>
              <w:rPr>
                <w:rFonts w:hint="eastAsia" w:ascii="Times New Roman" w:hAnsi="Times New Roman" w:eastAsia="楷体_GB2312" w:cs="楷体_GB2312"/>
                <w:spacing w:val="-6"/>
                <w:sz w:val="24"/>
                <w:szCs w:val="24"/>
              </w:rPr>
              <w:t>/s。</w:t>
            </w:r>
          </w:p>
          <w:p>
            <w:pPr>
              <w:tabs>
                <w:tab w:val="left" w:pos="420"/>
              </w:tabs>
              <w:adjustRightInd w:val="0"/>
              <w:snapToGrid w:val="0"/>
              <w:spacing w:line="340" w:lineRule="exact"/>
              <w:jc w:val="left"/>
              <w:outlineLvl w:val="2"/>
              <w:rPr>
                <w:rFonts w:ascii="Times New Roman" w:hAnsi="Times New Roman" w:eastAsia="楷体_GB2312" w:cs="楷体_GB2312"/>
                <w:spacing w:val="-6"/>
                <w:sz w:val="24"/>
                <w:szCs w:val="24"/>
              </w:rPr>
            </w:pPr>
            <w:r>
              <w:rPr>
                <w:rFonts w:hint="eastAsia" w:ascii="Times New Roman" w:hAnsi="Times New Roman" w:eastAsia="黑体" w:cs="黑体"/>
                <w:sz w:val="24"/>
                <w:szCs w:val="24"/>
                <w:lang w:val="en-AU"/>
              </w:rPr>
              <w:t xml:space="preserve">  再生水配套设施工程：</w:t>
            </w:r>
            <w:r>
              <w:rPr>
                <w:rFonts w:hint="eastAsia" w:ascii="Times New Roman" w:hAnsi="Times New Roman" w:eastAsia="楷体_GB2312" w:cs="楷体_GB2312"/>
                <w:spacing w:val="-6"/>
                <w:sz w:val="24"/>
                <w:szCs w:val="24"/>
              </w:rPr>
              <w:t>新建江北再生水厂（一期）回用配套补水输水泵站及管道工程；慈城、庄桥等现有“污水处理终端”再生水配套补水管道。</w:t>
            </w:r>
          </w:p>
          <w:p>
            <w:pPr>
              <w:tabs>
                <w:tab w:val="left" w:pos="420"/>
              </w:tabs>
              <w:adjustRightInd w:val="0"/>
              <w:snapToGrid w:val="0"/>
              <w:spacing w:line="340" w:lineRule="exact"/>
              <w:ind w:firstLine="240" w:firstLineChars="100"/>
              <w:jc w:val="left"/>
              <w:outlineLvl w:val="2"/>
              <w:rPr>
                <w:rFonts w:ascii="Times New Roman" w:hAnsi="Times New Roman" w:eastAsia="黑体" w:cs="黑体"/>
                <w:sz w:val="24"/>
                <w:szCs w:val="24"/>
              </w:rPr>
            </w:pPr>
            <w:r>
              <w:rPr>
                <w:rFonts w:hint="eastAsia" w:ascii="Times New Roman" w:hAnsi="Times New Roman" w:eastAsia="黑体" w:cs="黑体"/>
                <w:sz w:val="24"/>
                <w:szCs w:val="24"/>
                <w:lang w:val="en-AU"/>
              </w:rPr>
              <w:t>东西向连通河道整治工程：</w:t>
            </w:r>
            <w:r>
              <w:rPr>
                <w:rFonts w:hint="eastAsia" w:ascii="Times New Roman" w:hAnsi="Times New Roman" w:eastAsia="楷体_GB2312" w:cs="楷体_GB2312"/>
                <w:spacing w:val="-6"/>
                <w:sz w:val="24"/>
                <w:szCs w:val="24"/>
              </w:rPr>
              <w:t>开展江北区东西向骨干引排水通道打通前期研究。</w:t>
            </w:r>
          </w:p>
        </w:tc>
      </w:tr>
    </w:tbl>
    <w:p>
      <w:pPr>
        <w:spacing w:before="156" w:beforeLines="50" w:after="156" w:afterLines="50" w:line="580" w:lineRule="exact"/>
        <w:outlineLvl w:val="2"/>
        <w:rPr>
          <w:rFonts w:ascii="Times New Roman" w:hAnsi="Times New Roman" w:eastAsia="仿宋_GB2312" w:cs="仿宋_GB2312"/>
          <w:b/>
          <w:sz w:val="32"/>
          <w:szCs w:val="32"/>
        </w:rPr>
      </w:pPr>
      <w:r>
        <w:rPr>
          <w:rFonts w:hint="eastAsia" w:ascii="Times New Roman" w:hAnsi="Times New Roman" w:eastAsia="仿宋_GB2312" w:cs="仿宋_GB2312"/>
          <w:b/>
          <w:sz w:val="32"/>
          <w:szCs w:val="32"/>
        </w:rPr>
        <w:t>三、“八片多点”——调水提升，改善水环境</w:t>
      </w:r>
    </w:p>
    <w:p>
      <w:pPr>
        <w:spacing w:line="58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 xml:space="preserve">支撑姚江农业公园、北山原乡片、文创-宁大片区等重点区域高品质发展，通过“截污、控源、水岸空间治理”等系统治理措施，打造生态型河岸空间。继续开展河道底泥清淤疏浚，农村水系生态治理；全面推进水美乡村、幸福河湖建设。 </w:t>
      </w:r>
    </w:p>
    <w:p>
      <w:pPr>
        <w:pStyle w:val="31"/>
        <w:numPr>
          <w:ilvl w:val="0"/>
          <w:numId w:val="1"/>
        </w:numPr>
        <w:spacing w:line="540" w:lineRule="exact"/>
        <w:ind w:left="0" w:firstLine="643"/>
        <w:outlineLvl w:val="3"/>
        <w:rPr>
          <w:rFonts w:ascii="Times New Roman" w:hAnsi="Times New Roman" w:eastAsia="仿宋_GB2312" w:cs="仿宋_GB2312"/>
          <w:sz w:val="32"/>
          <w:szCs w:val="32"/>
        </w:rPr>
      </w:pPr>
      <w:r>
        <w:rPr>
          <w:rFonts w:hint="eastAsia" w:ascii="Times New Roman" w:hAnsi="Times New Roman" w:eastAsia="仿宋_GB2312" w:cs="仿宋_GB2312"/>
          <w:b/>
          <w:bCs/>
          <w:sz w:val="32"/>
          <w:szCs w:val="32"/>
          <w:u w:val="single"/>
        </w:rPr>
        <w:t>“八片”</w:t>
      </w:r>
      <w:r>
        <w:rPr>
          <w:rFonts w:hint="eastAsia" w:ascii="Times New Roman" w:hAnsi="Times New Roman" w:eastAsia="仿宋_GB2312" w:cs="仿宋_GB2312"/>
          <w:sz w:val="32"/>
          <w:szCs w:val="32"/>
        </w:rPr>
        <w:t>——除“慈城老城、新城、新兴产业以及姚江新区”四片结合“慈城北岸蓄滞工程、慈城新城一期、二期水系整治工程、姚江新城（前江片区）水系整治工程、新兴产业育成片水系整治工程”工程同步实施外，进一步启动实施多项生态提升工程。</w:t>
      </w:r>
    </w:p>
    <w:p>
      <w:pPr>
        <w:pStyle w:val="31"/>
        <w:numPr>
          <w:ilvl w:val="0"/>
          <w:numId w:val="1"/>
        </w:numPr>
        <w:spacing w:line="540" w:lineRule="exact"/>
        <w:ind w:left="0" w:firstLine="643"/>
        <w:outlineLvl w:val="3"/>
        <w:rPr>
          <w:rFonts w:ascii="Times New Roman" w:hAnsi="Times New Roman" w:eastAsia="宋体" w:cs="Times New Roman"/>
          <w:sz w:val="24"/>
        </w:rPr>
      </w:pPr>
      <w:r>
        <w:rPr>
          <w:rFonts w:hint="eastAsia" w:ascii="Times New Roman" w:hAnsi="Times New Roman" w:eastAsia="仿宋_GB2312" w:cs="仿宋_GB2312"/>
          <w:b/>
          <w:bCs/>
          <w:sz w:val="32"/>
          <w:szCs w:val="32"/>
          <w:u w:val="single"/>
        </w:rPr>
        <w:t xml:space="preserve"> “多点”</w:t>
      </w:r>
      <w:r>
        <w:rPr>
          <w:rFonts w:hint="eastAsia" w:ascii="Times New Roman" w:hAnsi="Times New Roman" w:eastAsia="仿宋_GB2312" w:cs="仿宋_GB2312"/>
          <w:sz w:val="32"/>
          <w:szCs w:val="32"/>
        </w:rPr>
        <w:t>——通过水系连通、清淤疏浚、堤岸加固、沿河绿化、生态修复、滨水绿道、便民设施等建设和保洁管护等综合措施，实施“卡口整治、生态清淤、水美乡村/乐水小镇建设、幸福河道”四项，进一步提升水生态环境。</w:t>
      </w:r>
    </w:p>
    <w:tbl>
      <w:tblPr>
        <w:tblStyle w:val="20"/>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822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8222" w:type="dxa"/>
          </w:tcPr>
          <w:p>
            <w:pPr>
              <w:pStyle w:val="2"/>
              <w:tabs>
                <w:tab w:val="left" w:pos="420"/>
              </w:tabs>
              <w:spacing w:beforeLines="0" w:afterLines="0" w:line="580" w:lineRule="exact"/>
              <w:ind w:left="425" w:hanging="425"/>
              <w:rPr>
                <w:rFonts w:cs="黑体"/>
                <w:b/>
                <w:bCs w:val="0"/>
                <w:sz w:val="30"/>
                <w:szCs w:val="30"/>
              </w:rPr>
            </w:pPr>
            <w:r>
              <w:rPr>
                <w:rFonts w:hint="eastAsia" w:cs="黑体"/>
                <w:b/>
                <w:bCs w:val="0"/>
                <w:sz w:val="30"/>
                <w:szCs w:val="30"/>
              </w:rPr>
              <w:t>专栏6  生态提升工程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543" w:hRule="atLeast"/>
          <w:jc w:val="center"/>
        </w:trPr>
        <w:tc>
          <w:tcPr>
            <w:tcW w:w="8222" w:type="dxa"/>
          </w:tcPr>
          <w:p>
            <w:pPr>
              <w:tabs>
                <w:tab w:val="left" w:pos="420"/>
              </w:tabs>
              <w:adjustRightInd w:val="0"/>
              <w:snapToGrid w:val="0"/>
              <w:spacing w:line="340" w:lineRule="exact"/>
              <w:jc w:val="left"/>
              <w:outlineLvl w:val="2"/>
              <w:rPr>
                <w:rFonts w:ascii="Times New Roman" w:hAnsi="Times New Roman" w:eastAsia="楷体_GB2312" w:cs="楷体_GB2312"/>
                <w:spacing w:val="-6"/>
                <w:sz w:val="24"/>
                <w:szCs w:val="24"/>
              </w:rPr>
            </w:pPr>
            <w:r>
              <w:rPr>
                <w:rFonts w:hint="eastAsia" w:ascii="Times New Roman" w:hAnsi="Times New Roman" w:eastAsia="黑体" w:cs="黑体"/>
                <w:sz w:val="24"/>
                <w:szCs w:val="24"/>
                <w:lang w:val="en-AU"/>
              </w:rPr>
              <w:t xml:space="preserve">  慈城镇姚江农业公园片农村水系整治工程：</w:t>
            </w:r>
            <w:r>
              <w:rPr>
                <w:rFonts w:hint="eastAsia" w:ascii="Times New Roman" w:hAnsi="Times New Roman" w:eastAsia="楷体_GB2312" w:cs="楷体_GB2312"/>
                <w:spacing w:val="-6"/>
                <w:sz w:val="24"/>
                <w:szCs w:val="24"/>
              </w:rPr>
              <w:t>实施安仁河、讴思河等河道治理实施洪陈村、王家坝村节制闸2座，并进行水质治理、清淤疏浚及水景观提升。</w:t>
            </w:r>
          </w:p>
          <w:p>
            <w:pPr>
              <w:tabs>
                <w:tab w:val="left" w:pos="420"/>
              </w:tabs>
              <w:adjustRightInd w:val="0"/>
              <w:snapToGrid w:val="0"/>
              <w:spacing w:line="340" w:lineRule="exact"/>
              <w:ind w:firstLine="240" w:firstLineChars="100"/>
              <w:jc w:val="left"/>
              <w:outlineLvl w:val="2"/>
              <w:rPr>
                <w:rFonts w:ascii="Times New Roman" w:hAnsi="Times New Roman" w:eastAsia="楷体_GB2312" w:cs="楷体_GB2312"/>
                <w:spacing w:val="-6"/>
                <w:sz w:val="24"/>
                <w:szCs w:val="24"/>
              </w:rPr>
            </w:pPr>
            <w:r>
              <w:rPr>
                <w:rFonts w:hint="eastAsia" w:ascii="Times New Roman" w:hAnsi="Times New Roman" w:eastAsia="黑体" w:cs="黑体"/>
                <w:sz w:val="24"/>
                <w:szCs w:val="24"/>
                <w:lang w:val="en-AU"/>
              </w:rPr>
              <w:t>北山原乡片（英雄水库下游）农村水系整治工程：</w:t>
            </w:r>
            <w:r>
              <w:rPr>
                <w:rFonts w:hint="eastAsia" w:ascii="Times New Roman" w:hAnsi="Times New Roman" w:eastAsia="楷体_GB2312" w:cs="楷体_GB2312"/>
                <w:spacing w:val="-6"/>
                <w:sz w:val="24"/>
                <w:szCs w:val="24"/>
              </w:rPr>
              <w:t>实施楼盆河、苏家畈河治理，以及穿村段河道沿线截污、水质治理及景观提升工程。</w:t>
            </w:r>
          </w:p>
          <w:p>
            <w:pPr>
              <w:tabs>
                <w:tab w:val="left" w:pos="420"/>
              </w:tabs>
              <w:adjustRightInd w:val="0"/>
              <w:snapToGrid w:val="0"/>
              <w:spacing w:line="340" w:lineRule="exact"/>
              <w:ind w:firstLine="240" w:firstLineChars="100"/>
              <w:jc w:val="left"/>
              <w:outlineLvl w:val="2"/>
              <w:rPr>
                <w:rFonts w:ascii="Times New Roman" w:hAnsi="Times New Roman" w:eastAsia="黑体" w:cs="黑体"/>
                <w:sz w:val="24"/>
                <w:szCs w:val="24"/>
                <w:lang w:val="en-AU"/>
              </w:rPr>
            </w:pPr>
            <w:r>
              <w:rPr>
                <w:rFonts w:hint="eastAsia" w:ascii="Times New Roman" w:hAnsi="Times New Roman" w:eastAsia="黑体" w:cs="黑体"/>
                <w:sz w:val="24"/>
                <w:szCs w:val="24"/>
                <w:lang w:val="en-AU"/>
              </w:rPr>
              <w:t>清水环通工程（江北片）：</w:t>
            </w:r>
            <w:r>
              <w:rPr>
                <w:rFonts w:hint="eastAsia" w:ascii="Times New Roman" w:hAnsi="Times New Roman" w:eastAsia="楷体_GB2312" w:cs="楷体_GB2312"/>
                <w:spacing w:val="-6"/>
                <w:sz w:val="24"/>
                <w:szCs w:val="24"/>
              </w:rPr>
              <w:t>新建洋市中心河泵站，实施分片补水及小区域微循环工程，同时针对江北万达、西大河等区域新建微循环体系，打造生态示范河道。</w:t>
            </w:r>
          </w:p>
          <w:p>
            <w:pPr>
              <w:tabs>
                <w:tab w:val="left" w:pos="420"/>
              </w:tabs>
              <w:adjustRightInd w:val="0"/>
              <w:snapToGrid w:val="0"/>
              <w:spacing w:line="340" w:lineRule="exact"/>
              <w:ind w:firstLine="240" w:firstLineChars="100"/>
              <w:jc w:val="left"/>
              <w:outlineLvl w:val="2"/>
              <w:rPr>
                <w:rFonts w:ascii="Times New Roman" w:hAnsi="Times New Roman" w:eastAsia="楷体_GB2312" w:cs="楷体_GB2312"/>
                <w:spacing w:val="-6"/>
                <w:sz w:val="24"/>
                <w:szCs w:val="24"/>
              </w:rPr>
            </w:pPr>
            <w:r>
              <w:rPr>
                <w:rFonts w:hint="eastAsia" w:ascii="Times New Roman" w:hAnsi="Times New Roman" w:eastAsia="黑体" w:cs="黑体"/>
                <w:sz w:val="24"/>
                <w:szCs w:val="24"/>
                <w:lang w:val="en-AU"/>
              </w:rPr>
              <w:t>文创-宁大片区水系治理工程：</w:t>
            </w:r>
            <w:r>
              <w:rPr>
                <w:rFonts w:hint="eastAsia" w:ascii="Times New Roman" w:hAnsi="Times New Roman" w:eastAsia="楷体_GB2312" w:cs="楷体_GB2312"/>
                <w:spacing w:val="-6"/>
                <w:sz w:val="24"/>
                <w:szCs w:val="24"/>
              </w:rPr>
              <w:t>实施张桂家河跨东昌路段、宁大南河卡口打通工程，同时结合地块开发建设实施双桥河治理，实施建设陆林、红梅、绿梅区块排涝泵站。</w:t>
            </w:r>
          </w:p>
          <w:p>
            <w:pPr>
              <w:tabs>
                <w:tab w:val="left" w:pos="420"/>
              </w:tabs>
              <w:adjustRightInd w:val="0"/>
              <w:snapToGrid w:val="0"/>
              <w:spacing w:line="340" w:lineRule="exact"/>
              <w:ind w:firstLine="240" w:firstLineChars="100"/>
              <w:jc w:val="left"/>
              <w:outlineLvl w:val="2"/>
              <w:rPr>
                <w:rFonts w:ascii="Times New Roman" w:hAnsi="Times New Roman" w:eastAsia="楷体_GB2312" w:cs="楷体_GB2312"/>
                <w:spacing w:val="-6"/>
                <w:sz w:val="24"/>
                <w:szCs w:val="24"/>
              </w:rPr>
            </w:pPr>
            <w:r>
              <w:rPr>
                <w:rFonts w:hint="eastAsia" w:ascii="Times New Roman" w:hAnsi="Times New Roman" w:eastAsia="黑体" w:cs="黑体"/>
                <w:sz w:val="24"/>
                <w:szCs w:val="24"/>
                <w:lang w:val="en-AU"/>
              </w:rPr>
              <w:t>城区片、前洋经济开发区卡口整治工程：</w:t>
            </w:r>
            <w:r>
              <w:rPr>
                <w:rFonts w:hint="eastAsia" w:ascii="Times New Roman" w:hAnsi="Times New Roman" w:eastAsia="楷体_GB2312" w:cs="楷体_GB2312"/>
                <w:spacing w:val="-6"/>
                <w:sz w:val="24"/>
                <w:szCs w:val="24"/>
              </w:rPr>
              <w:t>配套城区片、前洋经济开发区等区域品质提升建设，打通洋市中心河等主要河道卡口合计约40个。</w:t>
            </w:r>
          </w:p>
          <w:p>
            <w:pPr>
              <w:tabs>
                <w:tab w:val="left" w:pos="420"/>
              </w:tabs>
              <w:adjustRightInd w:val="0"/>
              <w:snapToGrid w:val="0"/>
              <w:spacing w:line="340" w:lineRule="exact"/>
              <w:ind w:firstLine="240" w:firstLineChars="100"/>
              <w:jc w:val="left"/>
              <w:outlineLvl w:val="2"/>
              <w:rPr>
                <w:rFonts w:ascii="Times New Roman" w:hAnsi="Times New Roman" w:eastAsia="楷体_GB2312" w:cs="楷体_GB2312"/>
                <w:spacing w:val="-6"/>
                <w:sz w:val="24"/>
                <w:szCs w:val="24"/>
              </w:rPr>
            </w:pPr>
            <w:r>
              <w:rPr>
                <w:rFonts w:hint="eastAsia" w:ascii="Times New Roman" w:hAnsi="Times New Roman" w:eastAsia="黑体" w:cs="黑体"/>
                <w:sz w:val="24"/>
                <w:szCs w:val="24"/>
                <w:lang w:val="en-AU"/>
              </w:rPr>
              <w:t>河道生态清淤工程：</w:t>
            </w:r>
            <w:r>
              <w:rPr>
                <w:rFonts w:hint="eastAsia" w:ascii="Times New Roman" w:hAnsi="Times New Roman" w:eastAsia="楷体_GB2312" w:cs="楷体_GB2312"/>
                <w:spacing w:val="-6"/>
                <w:sz w:val="24"/>
                <w:szCs w:val="24"/>
              </w:rPr>
              <w:t>全区河道底泥生态疏浚量30万方。</w:t>
            </w:r>
          </w:p>
          <w:p>
            <w:pPr>
              <w:tabs>
                <w:tab w:val="left" w:pos="420"/>
              </w:tabs>
              <w:adjustRightInd w:val="0"/>
              <w:snapToGrid w:val="0"/>
              <w:spacing w:line="340" w:lineRule="exact"/>
              <w:ind w:firstLine="240" w:firstLineChars="100"/>
              <w:jc w:val="left"/>
              <w:outlineLvl w:val="2"/>
              <w:rPr>
                <w:rFonts w:ascii="Times New Roman" w:hAnsi="Times New Roman" w:eastAsia="楷体_GB2312" w:cs="楷体_GB2312"/>
                <w:spacing w:val="-6"/>
                <w:sz w:val="24"/>
                <w:szCs w:val="24"/>
              </w:rPr>
            </w:pPr>
            <w:r>
              <w:rPr>
                <w:rFonts w:hint="eastAsia" w:ascii="Times New Roman" w:hAnsi="Times New Roman" w:eastAsia="黑体" w:cs="黑体"/>
                <w:sz w:val="24"/>
                <w:szCs w:val="24"/>
                <w:lang w:val="en-AU"/>
              </w:rPr>
              <w:t>水美乡村、乐水小镇建设：</w:t>
            </w:r>
            <w:r>
              <w:rPr>
                <w:rFonts w:hint="eastAsia" w:ascii="Times New Roman" w:hAnsi="Times New Roman" w:eastAsia="楷体_GB2312" w:cs="楷体_GB2312"/>
                <w:spacing w:val="-6"/>
                <w:sz w:val="24"/>
                <w:szCs w:val="24"/>
              </w:rPr>
              <w:t>建设水美乡村7处，实施乐水小镇2个。</w:t>
            </w:r>
          </w:p>
          <w:p>
            <w:pPr>
              <w:tabs>
                <w:tab w:val="left" w:pos="420"/>
              </w:tabs>
              <w:adjustRightInd w:val="0"/>
              <w:snapToGrid w:val="0"/>
              <w:spacing w:line="340" w:lineRule="exact"/>
              <w:ind w:firstLine="240" w:firstLineChars="100"/>
              <w:jc w:val="left"/>
              <w:outlineLvl w:val="2"/>
              <w:rPr>
                <w:rFonts w:ascii="Times New Roman" w:hAnsi="Times New Roman" w:eastAsia="楷体_GB2312" w:cs="楷体_GB2312"/>
                <w:spacing w:val="-6"/>
                <w:sz w:val="24"/>
                <w:szCs w:val="24"/>
              </w:rPr>
            </w:pPr>
            <w:r>
              <w:rPr>
                <w:rFonts w:hint="eastAsia" w:ascii="Times New Roman" w:hAnsi="Times New Roman" w:eastAsia="黑体" w:cs="黑体"/>
                <w:sz w:val="24"/>
                <w:szCs w:val="24"/>
                <w:lang w:val="en-AU"/>
              </w:rPr>
              <w:t>幸福河道建设：</w:t>
            </w:r>
            <w:r>
              <w:rPr>
                <w:rFonts w:hint="eastAsia" w:ascii="Times New Roman" w:hAnsi="Times New Roman" w:eastAsia="楷体_GB2312" w:cs="楷体_GB2312"/>
                <w:spacing w:val="-6"/>
                <w:sz w:val="24"/>
                <w:szCs w:val="24"/>
              </w:rPr>
              <w:t>实施幸福河道建设1条，为姚江。</w:t>
            </w:r>
          </w:p>
        </w:tc>
      </w:tr>
    </w:tbl>
    <w:p>
      <w:pPr>
        <w:pStyle w:val="3"/>
        <w:spacing w:before="312" w:beforeLines="100" w:after="312" w:afterLines="100" w:line="580" w:lineRule="exact"/>
        <w:jc w:val="center"/>
        <w:rPr>
          <w:rFonts w:ascii="Times New Roman" w:hAnsi="Times New Roman" w:cstheme="minorBidi"/>
          <w:b w:val="0"/>
          <w:bCs w:val="0"/>
          <w:szCs w:val="24"/>
        </w:rPr>
      </w:pPr>
      <w:bookmarkStart w:id="14" w:name="_Toc9506"/>
      <w:r>
        <w:rPr>
          <w:rFonts w:hint="eastAsia" w:ascii="Times New Roman" w:hAnsi="Times New Roman" w:cstheme="minorBidi"/>
          <w:b w:val="0"/>
          <w:bCs w:val="0"/>
          <w:szCs w:val="24"/>
        </w:rPr>
        <w:t>第三节 打造人水和谐的水文化景观体系</w:t>
      </w:r>
      <w:bookmarkEnd w:id="14"/>
    </w:p>
    <w:p>
      <w:pPr>
        <w:spacing w:line="58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深入挖掘江北区水文化资源，贯彻乡村振兴战略，将水文化保护、宣传融入到全域旅游项目建设体系中；同时以水岸生态、湖泊湿地建设为依托，兼顾景观、文化、休闲需求，加强全域“水文化+”融合，科学谋划水文化多样载体建设，形成“点、线、面”全域水城融合常态发展的水文化经济建设格局，重塑名城水脉，展现运河风采。“十四五”期间，按照“一园、两带、多点”的水文化载体建设总体布局，实施建设水文化展示村、“二横一纵”运河文化展示带、甬江人文水岸经济带水岸经济长廊等水文化载体工程。项目总投资3.62亿元，“十四五”期间完成投资2.62亿元。</w:t>
      </w:r>
    </w:p>
    <w:p>
      <w:pPr>
        <w:spacing w:before="156" w:beforeLines="50" w:after="156" w:afterLines="50" w:line="580" w:lineRule="exact"/>
        <w:outlineLvl w:val="2"/>
        <w:rPr>
          <w:rFonts w:ascii="Times New Roman" w:hAnsi="Times New Roman" w:eastAsia="仿宋_GB2312" w:cs="仿宋_GB2312"/>
          <w:b/>
          <w:sz w:val="32"/>
          <w:szCs w:val="32"/>
        </w:rPr>
      </w:pPr>
      <w:r>
        <w:rPr>
          <w:rFonts w:hint="eastAsia" w:ascii="Times New Roman" w:hAnsi="Times New Roman" w:eastAsia="仿宋_GB2312" w:cs="仿宋_GB2312"/>
          <w:b/>
          <w:sz w:val="32"/>
          <w:szCs w:val="32"/>
        </w:rPr>
        <w:t>一、一“园”——宁波水利文化园（水利科普基地）</w:t>
      </w:r>
    </w:p>
    <w:p>
      <w:pPr>
        <w:spacing w:line="580" w:lineRule="exact"/>
        <w:ind w:firstLine="640" w:firstLineChars="200"/>
        <w:rPr>
          <w:rFonts w:ascii="Times New Roman" w:hAnsi="Times New Roman" w:eastAsia="仿宋_GB2312" w:cs="仿宋_GB2312"/>
          <w:sz w:val="32"/>
          <w:szCs w:val="32"/>
        </w:rPr>
      </w:pPr>
      <w:r>
        <w:rPr>
          <w:rFonts w:hint="eastAsia" w:ascii="Times New Roman" w:hAnsi="Times New Roman" w:eastAsia="楷体_GB2312" w:cs="楷体_GB2312"/>
          <w:sz w:val="32"/>
          <w:szCs w:val="32"/>
          <w:lang w:val="en-AU"/>
        </w:rPr>
        <w:t>（</w:t>
      </w:r>
      <w:r>
        <w:rPr>
          <w:rFonts w:hint="eastAsia" w:ascii="Times New Roman" w:hAnsi="Times New Roman" w:eastAsia="楷体_GB2312" w:cs="楷体_GB2312"/>
          <w:sz w:val="32"/>
          <w:szCs w:val="32"/>
        </w:rPr>
        <w:t>一</w:t>
      </w:r>
      <w:r>
        <w:rPr>
          <w:rFonts w:hint="eastAsia" w:ascii="Times New Roman" w:hAnsi="Times New Roman" w:eastAsia="楷体_GB2312" w:cs="楷体_GB2312"/>
          <w:sz w:val="32"/>
          <w:szCs w:val="32"/>
          <w:lang w:val="en-AU"/>
        </w:rPr>
        <w:t>）宁波水利文化园（水利科普基地）：</w:t>
      </w:r>
      <w:r>
        <w:rPr>
          <w:rFonts w:hint="eastAsia" w:ascii="Times New Roman" w:hAnsi="Times New Roman" w:eastAsia="仿宋_GB2312" w:cs="仿宋_GB2312"/>
          <w:sz w:val="32"/>
          <w:szCs w:val="32"/>
        </w:rPr>
        <w:t>充分发挥和平闸站水利设施能作为公共开放场地的优势，将之划分为水利工程历时遗存器物展、水文化陈列馆、智慧水利体验馆及老闸房水利书吧等四大板块，将和平闸站的水利单一功能转化为“一专多能”的综合功能区。工程总投资0.5亿元，“十四五”期间完成投资0.5亿元。</w:t>
      </w:r>
    </w:p>
    <w:p>
      <w:pPr>
        <w:spacing w:before="156" w:beforeLines="50" w:after="156" w:afterLines="50" w:line="580" w:lineRule="exact"/>
        <w:outlineLvl w:val="2"/>
        <w:rPr>
          <w:rFonts w:ascii="Times New Roman" w:hAnsi="Times New Roman" w:eastAsia="仿宋_GB2312" w:cs="仿宋_GB2312"/>
          <w:b/>
          <w:sz w:val="32"/>
          <w:szCs w:val="32"/>
        </w:rPr>
      </w:pPr>
      <w:r>
        <w:rPr>
          <w:rFonts w:hint="eastAsia" w:ascii="Times New Roman" w:hAnsi="Times New Roman" w:eastAsia="仿宋_GB2312" w:cs="仿宋_GB2312"/>
          <w:b/>
          <w:sz w:val="32"/>
          <w:szCs w:val="32"/>
        </w:rPr>
        <w:t>二、两“带”——“二横一纵”运河文化展示带、甬江北岸人文水岸经济带</w:t>
      </w:r>
    </w:p>
    <w:p>
      <w:pPr>
        <w:spacing w:line="580" w:lineRule="exact"/>
        <w:ind w:firstLine="640" w:firstLineChars="200"/>
        <w:rPr>
          <w:rFonts w:ascii="Times New Roman" w:hAnsi="Times New Roman" w:eastAsia="仿宋_GB2312" w:cs="仿宋_GB2312"/>
          <w:sz w:val="32"/>
          <w:szCs w:val="32"/>
        </w:rPr>
      </w:pPr>
      <w:r>
        <w:rPr>
          <w:rFonts w:hint="eastAsia" w:ascii="Times New Roman" w:hAnsi="Times New Roman" w:eastAsia="楷体_GB2312" w:cs="楷体_GB2312"/>
          <w:sz w:val="32"/>
          <w:szCs w:val="32"/>
        </w:rPr>
        <w:t>（二）“二横一纵”运河文化展示带：</w:t>
      </w:r>
      <w:r>
        <w:rPr>
          <w:rFonts w:hint="eastAsia" w:ascii="Times New Roman" w:hAnsi="Times New Roman" w:eastAsia="仿宋_GB2312" w:cs="仿宋_GB2312"/>
          <w:sz w:val="32"/>
          <w:szCs w:val="32"/>
        </w:rPr>
        <w:t>打造由姚江、慈江、官山河组成的运河文化展示带，实施姚江水利风景区、慈江-官山河运河文化长廊建，传承展示渡口文化、水利文化、运河文化等多元文化，营造大运河文化历史展示带。</w:t>
      </w:r>
    </w:p>
    <w:p>
      <w:pPr>
        <w:spacing w:line="580" w:lineRule="exact"/>
        <w:ind w:firstLine="640" w:firstLineChars="200"/>
        <w:rPr>
          <w:rFonts w:ascii="Times New Roman" w:hAnsi="Times New Roman" w:eastAsia="仿宋_GB2312" w:cs="仿宋_GB2312"/>
          <w:sz w:val="32"/>
          <w:szCs w:val="32"/>
        </w:rPr>
      </w:pPr>
      <w:r>
        <w:rPr>
          <w:rFonts w:hint="eastAsia" w:ascii="Times New Roman" w:hAnsi="Times New Roman" w:eastAsia="楷体_GB2312" w:cs="楷体_GB2312"/>
          <w:sz w:val="32"/>
          <w:szCs w:val="32"/>
        </w:rPr>
        <w:t>（三）甬江北岸人文水岸经济带：</w:t>
      </w:r>
      <w:r>
        <w:rPr>
          <w:rFonts w:hint="eastAsia" w:ascii="Times New Roman" w:hAnsi="Times New Roman" w:eastAsia="仿宋_GB2312" w:cs="仿宋_GB2312"/>
          <w:sz w:val="32"/>
          <w:szCs w:val="32"/>
        </w:rPr>
        <w:t>依托甬江北岸文创港开发建设，通过生态堤防、滨水景观、水文化载体建设，营造城市公共生活滨水区、水文化历史展示区、生态滨水空间等特色滨水景观，打造高品质的生活、经济发展空间，建设甬江人文水岸经济带。</w:t>
      </w:r>
    </w:p>
    <w:p>
      <w:pPr>
        <w:spacing w:before="156" w:beforeLines="50" w:after="156" w:afterLines="50" w:line="580" w:lineRule="exact"/>
        <w:outlineLvl w:val="2"/>
        <w:rPr>
          <w:rFonts w:ascii="Times New Roman" w:hAnsi="Times New Roman" w:eastAsia="仿宋_GB2312" w:cs="仿宋_GB2312"/>
          <w:b/>
          <w:sz w:val="32"/>
          <w:szCs w:val="32"/>
        </w:rPr>
      </w:pPr>
      <w:r>
        <w:rPr>
          <w:rFonts w:hint="eastAsia" w:ascii="Times New Roman" w:hAnsi="Times New Roman" w:eastAsia="仿宋_GB2312" w:cs="仿宋_GB2312"/>
          <w:b/>
          <w:sz w:val="32"/>
          <w:szCs w:val="32"/>
        </w:rPr>
        <w:t>三、多“点”——古水利设施展示点；自然水域景观展示点、现代水治理综合体示范建设；水文化展示村建设</w:t>
      </w:r>
    </w:p>
    <w:p>
      <w:pPr>
        <w:spacing w:line="580" w:lineRule="exact"/>
        <w:ind w:firstLine="640" w:firstLineChars="200"/>
        <w:rPr>
          <w:rFonts w:ascii="Times New Roman" w:hAnsi="Times New Roman" w:eastAsia="宋体" w:cs="Times New Roman"/>
          <w:sz w:val="24"/>
          <w:szCs w:val="24"/>
        </w:rPr>
      </w:pPr>
      <w:r>
        <w:rPr>
          <w:rFonts w:hint="eastAsia" w:ascii="Times New Roman" w:hAnsi="Times New Roman" w:eastAsia="楷体_GB2312" w:cs="楷体_GB2312"/>
          <w:sz w:val="32"/>
          <w:szCs w:val="32"/>
        </w:rPr>
        <w:t>（四）自然水域景观展示点：</w:t>
      </w:r>
      <w:r>
        <w:rPr>
          <w:rFonts w:hint="eastAsia" w:ascii="Times New Roman" w:hAnsi="Times New Roman" w:eastAsia="仿宋_GB2312" w:cs="仿宋_GB2312"/>
          <w:sz w:val="32"/>
          <w:szCs w:val="32"/>
        </w:rPr>
        <w:t>充分发挥江北区自然水域景观资源优势，做好慈湖、日湖、中心湖、东湖、云湖、荪湖等长效管护工作。</w:t>
      </w:r>
    </w:p>
    <w:p>
      <w:pPr>
        <w:spacing w:line="580" w:lineRule="exact"/>
        <w:ind w:firstLine="640" w:firstLineChars="200"/>
        <w:rPr>
          <w:rFonts w:ascii="Times New Roman" w:hAnsi="Times New Roman" w:eastAsia="仿宋_GB2312" w:cs="仿宋_GB2312"/>
          <w:sz w:val="32"/>
          <w:szCs w:val="32"/>
        </w:rPr>
      </w:pPr>
      <w:r>
        <w:rPr>
          <w:rFonts w:hint="eastAsia" w:ascii="Times New Roman" w:hAnsi="Times New Roman" w:eastAsia="楷体_GB2312" w:cs="楷体_GB2312"/>
          <w:sz w:val="32"/>
          <w:szCs w:val="32"/>
        </w:rPr>
        <w:t>（五）现代水治理综合体工程宣传展示：</w:t>
      </w:r>
      <w:r>
        <w:rPr>
          <w:rFonts w:hint="eastAsia" w:ascii="Times New Roman" w:hAnsi="Times New Roman" w:eastAsia="仿宋_GB2312" w:cs="仿宋_GB2312"/>
          <w:sz w:val="32"/>
          <w:szCs w:val="32"/>
        </w:rPr>
        <w:t>结合田园湿地建设，打造集区域排涝、湿地净化、微循环以及农业生产旅游为一体的现代水治理综合体工程的宣传展示工作。</w:t>
      </w:r>
    </w:p>
    <w:p>
      <w:pPr>
        <w:spacing w:line="580" w:lineRule="exact"/>
        <w:ind w:firstLine="640" w:firstLineChars="200"/>
        <w:rPr>
          <w:rFonts w:ascii="Times New Roman" w:hAnsi="Times New Roman" w:eastAsia="仿宋_GB2312" w:cs="仿宋_GB2312"/>
          <w:sz w:val="32"/>
          <w:szCs w:val="32"/>
        </w:rPr>
      </w:pPr>
      <w:r>
        <w:rPr>
          <w:rFonts w:hint="eastAsia" w:ascii="Times New Roman" w:hAnsi="Times New Roman" w:eastAsia="楷体_GB2312" w:cs="楷体_GB2312"/>
          <w:sz w:val="32"/>
          <w:szCs w:val="32"/>
        </w:rPr>
        <w:t>（六）水文化展示村建设：</w:t>
      </w:r>
      <w:r>
        <w:rPr>
          <w:rFonts w:hint="eastAsia" w:ascii="Times New Roman" w:hAnsi="Times New Roman" w:eastAsia="仿宋_GB2312" w:cs="仿宋_GB2312"/>
          <w:sz w:val="32"/>
          <w:szCs w:val="32"/>
        </w:rPr>
        <w:t>结合农村水系、村庄水环境治理，以及农旅“四大片区”项目实施，谋划江北水文化展示村建设。</w:t>
      </w:r>
    </w:p>
    <w:tbl>
      <w:tblPr>
        <w:tblStyle w:val="20"/>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9072" w:type="dxa"/>
          </w:tcPr>
          <w:p>
            <w:pPr>
              <w:pStyle w:val="2"/>
              <w:tabs>
                <w:tab w:val="left" w:pos="420"/>
              </w:tabs>
              <w:spacing w:beforeLines="0" w:afterLines="0" w:line="580" w:lineRule="exact"/>
              <w:ind w:left="425" w:hanging="425"/>
              <w:rPr>
                <w:rFonts w:cs="黑体"/>
                <w:b/>
                <w:bCs w:val="0"/>
                <w:sz w:val="30"/>
                <w:szCs w:val="30"/>
              </w:rPr>
            </w:pPr>
            <w:bookmarkStart w:id="15" w:name="_Toc70413621"/>
            <w:bookmarkStart w:id="16" w:name="_Toc70432085"/>
            <w:bookmarkStart w:id="17" w:name="_Toc73369676"/>
            <w:r>
              <w:rPr>
                <w:rFonts w:hint="eastAsia" w:cs="黑体"/>
                <w:b/>
                <w:bCs w:val="0"/>
                <w:sz w:val="30"/>
                <w:szCs w:val="30"/>
              </w:rPr>
              <w:t>专栏7  水文化传承工程</w:t>
            </w:r>
            <w:bookmarkEnd w:id="15"/>
            <w:bookmarkEnd w:id="16"/>
            <w:bookmarkEnd w:id="17"/>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89" w:hRule="atLeast"/>
          <w:jc w:val="center"/>
        </w:trPr>
        <w:tc>
          <w:tcPr>
            <w:tcW w:w="9072" w:type="dxa"/>
          </w:tcPr>
          <w:p>
            <w:pPr>
              <w:tabs>
                <w:tab w:val="left" w:pos="420"/>
              </w:tabs>
              <w:adjustRightInd w:val="0"/>
              <w:snapToGrid w:val="0"/>
              <w:spacing w:line="360" w:lineRule="exact"/>
              <w:jc w:val="left"/>
              <w:outlineLvl w:val="2"/>
              <w:rPr>
                <w:rFonts w:ascii="Times New Roman" w:hAnsi="Times New Roman" w:eastAsia="楷体_GB2312" w:cs="楷体_GB2312"/>
                <w:spacing w:val="-6"/>
                <w:sz w:val="24"/>
                <w:szCs w:val="24"/>
              </w:rPr>
            </w:pPr>
            <w:r>
              <w:rPr>
                <w:rFonts w:hint="eastAsia" w:ascii="Times New Roman" w:hAnsi="Times New Roman" w:eastAsia="黑体" w:cs="黑体"/>
                <w:sz w:val="24"/>
                <w:szCs w:val="24"/>
                <w:lang w:val="en-AU"/>
              </w:rPr>
              <w:t xml:space="preserve">  </w:t>
            </w:r>
            <w:r>
              <w:rPr>
                <w:rFonts w:hint="eastAsia" w:ascii="Times New Roman" w:hAnsi="Times New Roman" w:eastAsia="黑体" w:cs="黑体"/>
                <w:sz w:val="24"/>
                <w:szCs w:val="24"/>
              </w:rPr>
              <w:t>水文化载体示范工程：</w:t>
            </w:r>
            <w:r>
              <w:rPr>
                <w:rFonts w:hint="eastAsia" w:ascii="Times New Roman" w:hAnsi="Times New Roman" w:eastAsia="楷体_GB2312" w:cs="楷体_GB2312"/>
                <w:spacing w:val="-6"/>
                <w:sz w:val="24"/>
                <w:szCs w:val="24"/>
              </w:rPr>
              <w:t>打造姚江水利风景区（含湾头城市水景观），重点打造宁波水利文化园(水利科普基地)建设。</w:t>
            </w:r>
          </w:p>
          <w:p>
            <w:pPr>
              <w:tabs>
                <w:tab w:val="left" w:pos="420"/>
              </w:tabs>
              <w:adjustRightInd w:val="0"/>
              <w:snapToGrid w:val="0"/>
              <w:spacing w:line="360" w:lineRule="exact"/>
              <w:jc w:val="left"/>
              <w:outlineLvl w:val="2"/>
              <w:rPr>
                <w:rFonts w:ascii="Times New Roman" w:hAnsi="Times New Roman" w:eastAsia="楷体_GB2312" w:cs="楷体_GB2312"/>
                <w:spacing w:val="-6"/>
                <w:sz w:val="24"/>
                <w:szCs w:val="24"/>
              </w:rPr>
            </w:pPr>
            <w:r>
              <w:rPr>
                <w:rFonts w:hint="eastAsia" w:ascii="Times New Roman" w:hAnsi="Times New Roman" w:eastAsia="黑体" w:cs="黑体"/>
                <w:sz w:val="24"/>
                <w:szCs w:val="24"/>
                <w:lang w:val="en-AU"/>
              </w:rPr>
              <w:t xml:space="preserve">  </w:t>
            </w:r>
            <w:r>
              <w:rPr>
                <w:rFonts w:hint="eastAsia" w:ascii="Times New Roman" w:hAnsi="Times New Roman" w:eastAsia="黑体" w:cs="黑体"/>
                <w:sz w:val="24"/>
                <w:szCs w:val="24"/>
              </w:rPr>
              <w:t>甬江北岸人文水岸经济带工程：</w:t>
            </w:r>
            <w:r>
              <w:rPr>
                <w:rFonts w:hint="eastAsia" w:ascii="Times New Roman" w:hAnsi="Times New Roman" w:eastAsia="楷体_GB2312" w:cs="楷体_GB2312"/>
                <w:spacing w:val="-6"/>
                <w:sz w:val="24"/>
                <w:szCs w:val="24"/>
              </w:rPr>
              <w:t>结合甬江北岸文创港项目建设，打造高品质的生活、经济发展空间，建设甬江人文水岸经济带。</w:t>
            </w:r>
          </w:p>
        </w:tc>
      </w:tr>
    </w:tbl>
    <w:p>
      <w:pPr>
        <w:pStyle w:val="3"/>
        <w:spacing w:before="312" w:beforeLines="100" w:after="312" w:afterLines="100" w:line="580" w:lineRule="exact"/>
        <w:jc w:val="center"/>
        <w:rPr>
          <w:rFonts w:ascii="Times New Roman" w:hAnsi="Times New Roman" w:cstheme="minorBidi"/>
          <w:b w:val="0"/>
          <w:bCs w:val="0"/>
          <w:szCs w:val="24"/>
        </w:rPr>
      </w:pPr>
      <w:bookmarkStart w:id="18" w:name="_Toc22687"/>
      <w:r>
        <w:rPr>
          <w:rFonts w:hint="eastAsia" w:ascii="Times New Roman" w:hAnsi="Times New Roman" w:cstheme="minorBidi"/>
          <w:b w:val="0"/>
          <w:bCs w:val="0"/>
          <w:szCs w:val="24"/>
        </w:rPr>
        <w:t>第四节 升级智能高效的智慧水利应用体系</w:t>
      </w:r>
      <w:bookmarkEnd w:id="18"/>
    </w:p>
    <w:p>
      <w:pPr>
        <w:spacing w:line="58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深入落实水利部《智慧水利指导意见和总体方案》（2019）建设要求，充分运用物联网、云计算、大数据等新兴信息技术，构建“1张网+1个库+2平台+2保障”总体框架，打造国内领先的区县（市）级智慧水利建设标杆。</w:t>
      </w:r>
    </w:p>
    <w:p>
      <w:pPr>
        <w:spacing w:line="58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一张网，即一张全要素信息采集网；一个库，即一个标准化数据资产库；两平台，即一个专业化行业服务中台与一个智慧化业务应用平台；两保障，即安全可靠运行保障体系与规范协同制度保障体系。工程总投资1.0亿元，“十四五”期间完成投资1.0亿元。</w:t>
      </w:r>
    </w:p>
    <w:p>
      <w:pPr>
        <w:spacing w:before="156" w:beforeLines="50" w:after="156" w:afterLines="50" w:line="580" w:lineRule="exact"/>
        <w:outlineLvl w:val="2"/>
        <w:rPr>
          <w:rFonts w:ascii="Times New Roman" w:hAnsi="Times New Roman" w:eastAsia="仿宋_GB2312" w:cs="仿宋_GB2312"/>
          <w:b/>
          <w:sz w:val="32"/>
          <w:szCs w:val="32"/>
        </w:rPr>
      </w:pPr>
      <w:r>
        <w:rPr>
          <w:rFonts w:hint="eastAsia" w:ascii="Times New Roman" w:hAnsi="Times New Roman" w:eastAsia="仿宋_GB2312" w:cs="仿宋_GB2312"/>
          <w:b/>
          <w:sz w:val="32"/>
          <w:szCs w:val="32"/>
        </w:rPr>
        <w:t>一、全要素信息采集网建设</w:t>
      </w:r>
    </w:p>
    <w:p>
      <w:pPr>
        <w:spacing w:line="58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构建江北区水利全要素信息采集网。对江北区现状水利工程、感知站点等基础资料进行全面摸排和收集的基础上，研究和制定物联感知补充完善方案。“十四五”末实现每个排涝分区至少有1个平原水位代表测站；实现沿江水闸泵、重要水库、堤防的工情监测全覆盖；实现姚江沿线15座闸泵自动化控制；针对慈江灌区，实现取用水在线监测。</w:t>
      </w:r>
    </w:p>
    <w:p>
      <w:pPr>
        <w:spacing w:before="156" w:beforeLines="50" w:after="156" w:afterLines="50" w:line="580" w:lineRule="exact"/>
        <w:outlineLvl w:val="2"/>
        <w:rPr>
          <w:rFonts w:ascii="Times New Roman" w:hAnsi="Times New Roman" w:eastAsia="仿宋_GB2312" w:cs="仿宋_GB2312"/>
          <w:b/>
          <w:sz w:val="32"/>
          <w:szCs w:val="32"/>
        </w:rPr>
      </w:pPr>
      <w:r>
        <w:rPr>
          <w:rFonts w:hint="eastAsia" w:ascii="Times New Roman" w:hAnsi="Times New Roman" w:eastAsia="仿宋_GB2312" w:cs="仿宋_GB2312"/>
          <w:b/>
          <w:sz w:val="32"/>
          <w:szCs w:val="32"/>
        </w:rPr>
        <w:t>二、标准化数据采集库建设</w:t>
      </w:r>
    </w:p>
    <w:p>
      <w:pPr>
        <w:spacing w:line="58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建立江北区水利标准化数据采集库。通过对江北区水利业务的综合梳理和水利数据的整体分析，全面梳理江北区水利数据资源目录，按照“一数一源”的原则，建立江北区水利标准化数据采集库。对各类智慧水利数据资源、相关外部门的数据资源进行整合并统一存储于标准化综合数据仓库，同时利用数据清洗引擎进行数据资源的清洗转换以及“再组织”，以实现水利大数据资源的高效共享和利用。</w:t>
      </w:r>
    </w:p>
    <w:p>
      <w:pPr>
        <w:spacing w:before="156" w:beforeLines="50" w:after="156" w:afterLines="50" w:line="580" w:lineRule="exact"/>
        <w:outlineLvl w:val="2"/>
        <w:rPr>
          <w:rFonts w:ascii="Times New Roman" w:hAnsi="Times New Roman" w:eastAsia="仿宋_GB2312" w:cs="仿宋_GB2312"/>
          <w:b/>
          <w:sz w:val="32"/>
          <w:szCs w:val="32"/>
        </w:rPr>
      </w:pPr>
      <w:r>
        <w:rPr>
          <w:rFonts w:hint="eastAsia" w:ascii="Times New Roman" w:hAnsi="Times New Roman" w:eastAsia="仿宋_GB2312" w:cs="仿宋_GB2312"/>
          <w:b/>
          <w:sz w:val="32"/>
          <w:szCs w:val="32"/>
        </w:rPr>
        <w:t>三、专业化行业服务中台建设</w:t>
      </w:r>
    </w:p>
    <w:p>
      <w:pPr>
        <w:spacing w:before="156" w:beforeLines="50" w:line="580" w:lineRule="exact"/>
        <w:ind w:firstLine="640" w:firstLineChars="200"/>
        <w:rPr>
          <w:rFonts w:ascii="Times New Roman" w:hAnsi="Times New Roman" w:eastAsia="楷体_GB2312" w:cs="楷体_GB2312"/>
          <w:sz w:val="32"/>
          <w:szCs w:val="32"/>
          <w:lang w:val="en-AU"/>
        </w:rPr>
      </w:pPr>
      <w:r>
        <w:rPr>
          <w:rFonts w:hint="eastAsia" w:ascii="Times New Roman" w:hAnsi="Times New Roman" w:eastAsia="楷体_GB2312" w:cs="楷体_GB2312"/>
          <w:sz w:val="32"/>
          <w:szCs w:val="32"/>
          <w:lang w:val="en-AU"/>
        </w:rPr>
        <w:t>（</w:t>
      </w:r>
      <w:r>
        <w:rPr>
          <w:rFonts w:hint="eastAsia" w:ascii="Times New Roman" w:hAnsi="Times New Roman" w:eastAsia="楷体_GB2312" w:cs="楷体_GB2312"/>
          <w:sz w:val="32"/>
          <w:szCs w:val="32"/>
        </w:rPr>
        <w:t>一</w:t>
      </w:r>
      <w:r>
        <w:rPr>
          <w:rFonts w:hint="eastAsia" w:ascii="Times New Roman" w:hAnsi="Times New Roman" w:eastAsia="楷体_GB2312" w:cs="楷体_GB2312"/>
          <w:sz w:val="32"/>
          <w:szCs w:val="32"/>
          <w:lang w:val="en-AU"/>
        </w:rPr>
        <w:t>）统一用户管理</w:t>
      </w:r>
    </w:p>
    <w:p>
      <w:pPr>
        <w:spacing w:line="58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通过统一的授权和认证实现不同业务系统的统一登录，为用户提供统一的信息资源认证访问入口。同时，建立完善的用户管理体系和权限管理体系。</w:t>
      </w:r>
    </w:p>
    <w:p>
      <w:pPr>
        <w:spacing w:before="156" w:beforeLines="50" w:line="580" w:lineRule="exact"/>
        <w:ind w:firstLine="640" w:firstLineChars="200"/>
        <w:rPr>
          <w:rFonts w:ascii="Times New Roman" w:hAnsi="Times New Roman" w:eastAsia="楷体_GB2312" w:cs="楷体_GB2312"/>
          <w:sz w:val="32"/>
          <w:szCs w:val="32"/>
          <w:lang w:val="en-AU"/>
        </w:rPr>
      </w:pPr>
      <w:r>
        <w:rPr>
          <w:rFonts w:hint="eastAsia" w:ascii="Times New Roman" w:hAnsi="Times New Roman" w:eastAsia="楷体_GB2312" w:cs="楷体_GB2312"/>
          <w:sz w:val="32"/>
          <w:szCs w:val="32"/>
          <w:lang w:val="en-AU"/>
        </w:rPr>
        <w:t>（</w:t>
      </w:r>
      <w:r>
        <w:rPr>
          <w:rFonts w:hint="eastAsia" w:ascii="Times New Roman" w:hAnsi="Times New Roman" w:eastAsia="楷体_GB2312" w:cs="楷体_GB2312"/>
          <w:sz w:val="32"/>
          <w:szCs w:val="32"/>
        </w:rPr>
        <w:t>二</w:t>
      </w:r>
      <w:r>
        <w:rPr>
          <w:rFonts w:hint="eastAsia" w:ascii="Times New Roman" w:hAnsi="Times New Roman" w:eastAsia="楷体_GB2312" w:cs="楷体_GB2312"/>
          <w:sz w:val="32"/>
          <w:szCs w:val="32"/>
          <w:lang w:val="en-AU"/>
        </w:rPr>
        <w:t>）水利数据资源服务</w:t>
      </w:r>
    </w:p>
    <w:p>
      <w:pPr>
        <w:spacing w:line="58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利用大数据、云计算等现代化信息技术，构建水利数据资源服务。通过对数据的挖掘、分析和管理，提升专业化数据服务水平，强化数据与服务监控能力，形成资源丰富、服务专业、共享高效、管控可视的智慧水利数据服务体系，最终达到“数据资产化、服务价值化、管控可视化”的目标，为江北智慧水利建设提供安全、可靠的专业数据服务。</w:t>
      </w:r>
    </w:p>
    <w:p>
      <w:pPr>
        <w:spacing w:before="156" w:beforeLines="50" w:line="580" w:lineRule="exact"/>
        <w:ind w:firstLine="640" w:firstLineChars="200"/>
        <w:rPr>
          <w:rFonts w:ascii="Times New Roman" w:hAnsi="Times New Roman" w:eastAsia="楷体_GB2312" w:cs="楷体_GB2312"/>
          <w:sz w:val="32"/>
          <w:szCs w:val="32"/>
          <w:lang w:val="en-AU"/>
        </w:rPr>
      </w:pPr>
      <w:r>
        <w:rPr>
          <w:rFonts w:hint="eastAsia" w:ascii="Times New Roman" w:hAnsi="Times New Roman" w:eastAsia="楷体_GB2312" w:cs="楷体_GB2312"/>
          <w:sz w:val="32"/>
          <w:szCs w:val="32"/>
          <w:lang w:val="en-AU"/>
        </w:rPr>
        <w:t>（</w:t>
      </w:r>
      <w:r>
        <w:rPr>
          <w:rFonts w:hint="eastAsia" w:ascii="Times New Roman" w:hAnsi="Times New Roman" w:eastAsia="楷体_GB2312" w:cs="楷体_GB2312"/>
          <w:sz w:val="32"/>
          <w:szCs w:val="32"/>
        </w:rPr>
        <w:t>三</w:t>
      </w:r>
      <w:r>
        <w:rPr>
          <w:rFonts w:hint="eastAsia" w:ascii="Times New Roman" w:hAnsi="Times New Roman" w:eastAsia="楷体_GB2312" w:cs="楷体_GB2312"/>
          <w:sz w:val="32"/>
          <w:szCs w:val="32"/>
          <w:lang w:val="en-AU"/>
        </w:rPr>
        <w:t>）地理信息服务</w:t>
      </w:r>
    </w:p>
    <w:p>
      <w:pPr>
        <w:spacing w:line="58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充分利用智慧宁波时空信息云平台资源，构建江北区水利“一张图”。围绕水利可视化需要，进行水利专题地图定制，整合各部门分散的水利信息资源，实现以图说数据、以图管业务和以图看分析，打通水利各部门地理数据交换共享的渠道。</w:t>
      </w:r>
    </w:p>
    <w:p>
      <w:pPr>
        <w:spacing w:before="156" w:beforeLines="50" w:line="580" w:lineRule="exact"/>
        <w:ind w:firstLine="640" w:firstLineChars="200"/>
        <w:rPr>
          <w:rFonts w:ascii="Times New Roman" w:hAnsi="Times New Roman" w:eastAsia="楷体_GB2312" w:cs="楷体_GB2312"/>
          <w:sz w:val="32"/>
          <w:szCs w:val="32"/>
          <w:lang w:val="en-AU"/>
        </w:rPr>
      </w:pPr>
      <w:r>
        <w:rPr>
          <w:rFonts w:hint="eastAsia" w:ascii="Times New Roman" w:hAnsi="Times New Roman" w:eastAsia="楷体_GB2312" w:cs="楷体_GB2312"/>
          <w:sz w:val="32"/>
          <w:szCs w:val="32"/>
          <w:lang w:val="en-AU"/>
        </w:rPr>
        <w:t>（</w:t>
      </w:r>
      <w:r>
        <w:rPr>
          <w:rFonts w:hint="eastAsia" w:ascii="Times New Roman" w:hAnsi="Times New Roman" w:eastAsia="楷体_GB2312" w:cs="楷体_GB2312"/>
          <w:sz w:val="32"/>
          <w:szCs w:val="32"/>
        </w:rPr>
        <w:t>四</w:t>
      </w:r>
      <w:r>
        <w:rPr>
          <w:rFonts w:hint="eastAsia" w:ascii="Times New Roman" w:hAnsi="Times New Roman" w:eastAsia="楷体_GB2312" w:cs="楷体_GB2312"/>
          <w:sz w:val="32"/>
          <w:szCs w:val="32"/>
          <w:lang w:val="en-AU"/>
        </w:rPr>
        <w:t>）水利智能视频分析服务</w:t>
      </w:r>
    </w:p>
    <w:p>
      <w:pPr>
        <w:spacing w:line="58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为提高水利工程管理效率和问题发现处置能力，解决管理人员不足等问题，综合应用增强现实、计算机视觉识别、大数据分析等现代化技术，构建水利智能视频分析服务，通过对工程前端视频点位监控图像进行智能分析，为河道等水利工程智能巡查、智能管控提供支撑，有效降低人力监控负担，保障工程安全运行。</w:t>
      </w:r>
    </w:p>
    <w:p>
      <w:pPr>
        <w:spacing w:before="156" w:beforeLines="50" w:after="156" w:afterLines="50" w:line="580" w:lineRule="exact"/>
        <w:outlineLvl w:val="2"/>
        <w:rPr>
          <w:rFonts w:ascii="Times New Roman" w:hAnsi="Times New Roman" w:eastAsia="仿宋_GB2312" w:cs="仿宋_GB2312"/>
          <w:b/>
          <w:sz w:val="32"/>
          <w:szCs w:val="32"/>
        </w:rPr>
      </w:pPr>
      <w:r>
        <w:rPr>
          <w:rFonts w:hint="eastAsia" w:ascii="Times New Roman" w:hAnsi="Times New Roman" w:eastAsia="仿宋_GB2312" w:cs="仿宋_GB2312"/>
          <w:b/>
          <w:sz w:val="32"/>
          <w:szCs w:val="32"/>
        </w:rPr>
        <w:t>四、智慧化业务应用平台建设</w:t>
      </w:r>
    </w:p>
    <w:p>
      <w:pPr>
        <w:spacing w:before="156" w:beforeLines="50" w:line="580" w:lineRule="exact"/>
        <w:ind w:firstLine="640" w:firstLineChars="200"/>
        <w:rPr>
          <w:rFonts w:ascii="Times New Roman" w:hAnsi="Times New Roman" w:eastAsia="楷体_GB2312" w:cs="楷体_GB2312"/>
          <w:sz w:val="32"/>
          <w:szCs w:val="32"/>
          <w:lang w:val="en-AU"/>
        </w:rPr>
      </w:pPr>
      <w:r>
        <w:rPr>
          <w:rFonts w:hint="eastAsia" w:ascii="Times New Roman" w:hAnsi="Times New Roman" w:eastAsia="楷体_GB2312" w:cs="楷体_GB2312"/>
          <w:sz w:val="32"/>
          <w:szCs w:val="32"/>
          <w:lang w:val="en-AU"/>
        </w:rPr>
        <w:t>（</w:t>
      </w:r>
      <w:r>
        <w:rPr>
          <w:rFonts w:hint="eastAsia" w:ascii="Times New Roman" w:hAnsi="Times New Roman" w:eastAsia="楷体_GB2312" w:cs="楷体_GB2312"/>
          <w:sz w:val="32"/>
          <w:szCs w:val="32"/>
        </w:rPr>
        <w:t>一</w:t>
      </w:r>
      <w:r>
        <w:rPr>
          <w:rFonts w:hint="eastAsia" w:ascii="Times New Roman" w:hAnsi="Times New Roman" w:eastAsia="楷体_GB2312" w:cs="楷体_GB2312"/>
          <w:sz w:val="32"/>
          <w:szCs w:val="32"/>
          <w:lang w:val="en-AU"/>
        </w:rPr>
        <w:t>）河湖智能监管业务应用建设</w:t>
      </w:r>
    </w:p>
    <w:p>
      <w:pPr>
        <w:spacing w:line="58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大力开展江北区河湖智能监管提升工程，利用无人机、智能视频分析识别技术，提高河湖巡查智能化水平，建立综合管理平台，提升河湖智能监管职效率。推进网上智能巡河，加强岸线感知水平，提升水域空间监管能力，丰富水政执法手段，提升违法处置能力。</w:t>
      </w:r>
    </w:p>
    <w:p>
      <w:pPr>
        <w:spacing w:before="156" w:beforeLines="50" w:line="580" w:lineRule="exact"/>
        <w:ind w:firstLine="640" w:firstLineChars="200"/>
        <w:rPr>
          <w:rFonts w:ascii="Times New Roman" w:hAnsi="Times New Roman" w:eastAsia="楷体_GB2312" w:cs="楷体_GB2312"/>
          <w:sz w:val="32"/>
          <w:szCs w:val="32"/>
          <w:lang w:val="en-AU"/>
        </w:rPr>
      </w:pPr>
      <w:r>
        <w:rPr>
          <w:rFonts w:hint="eastAsia" w:ascii="Times New Roman" w:hAnsi="Times New Roman" w:eastAsia="楷体_GB2312" w:cs="楷体_GB2312"/>
          <w:sz w:val="32"/>
          <w:szCs w:val="32"/>
          <w:lang w:val="en-AU"/>
        </w:rPr>
        <w:t>（</w:t>
      </w:r>
      <w:r>
        <w:rPr>
          <w:rFonts w:hint="eastAsia" w:ascii="Times New Roman" w:hAnsi="Times New Roman" w:eastAsia="楷体_GB2312" w:cs="楷体_GB2312"/>
          <w:sz w:val="32"/>
          <w:szCs w:val="32"/>
        </w:rPr>
        <w:t>二</w:t>
      </w:r>
      <w:r>
        <w:rPr>
          <w:rFonts w:hint="eastAsia" w:ascii="Times New Roman" w:hAnsi="Times New Roman" w:eastAsia="楷体_GB2312" w:cs="楷体_GB2312"/>
          <w:sz w:val="32"/>
          <w:szCs w:val="32"/>
          <w:lang w:val="en-AU"/>
        </w:rPr>
        <w:t>）内涝风险智能研判业务应用建设</w:t>
      </w:r>
    </w:p>
    <w:p>
      <w:pPr>
        <w:spacing w:line="58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根据江北区以及各乡镇/街道对防汛的实际需要，利用动态感知、移动互联、大数据、云计算、人工智能等技术，研发智能化的城区内涝分析、研判和调度系统，进一步提升江北区防汛防台智慧化水平，最大程度降低洪涝灾害损失，为江北区经济社会安全提供保障。需结合前期江北区智慧水利建设基础，研究完成江北区内涝风险智能研判与调度平台设计方案。在内涝风险智能研判与调度专题研究的基础上全面开展物联感知站点布设和接入、平原内涝智能研判与调度模型建设、平原内涝智能研判与调度平台开发等工作，最终完成富有江北区特色的内涝风险智能研判与调度平台的建设。</w:t>
      </w:r>
    </w:p>
    <w:p>
      <w:pPr>
        <w:spacing w:before="156" w:beforeLines="50" w:line="580" w:lineRule="exact"/>
        <w:ind w:firstLine="640" w:firstLineChars="200"/>
        <w:rPr>
          <w:rFonts w:ascii="Times New Roman" w:hAnsi="Times New Roman" w:eastAsia="楷体_GB2312" w:cs="楷体_GB2312"/>
          <w:sz w:val="32"/>
          <w:szCs w:val="32"/>
          <w:lang w:val="en-AU"/>
        </w:rPr>
      </w:pPr>
      <w:r>
        <w:rPr>
          <w:rFonts w:hint="eastAsia" w:ascii="Times New Roman" w:hAnsi="Times New Roman" w:eastAsia="楷体_GB2312" w:cs="楷体_GB2312"/>
          <w:sz w:val="32"/>
          <w:szCs w:val="32"/>
          <w:lang w:val="en-AU"/>
        </w:rPr>
        <w:t>（</w:t>
      </w:r>
      <w:r>
        <w:rPr>
          <w:rFonts w:hint="eastAsia" w:ascii="Times New Roman" w:hAnsi="Times New Roman" w:eastAsia="楷体_GB2312" w:cs="楷体_GB2312"/>
          <w:sz w:val="32"/>
          <w:szCs w:val="32"/>
        </w:rPr>
        <w:t>三</w:t>
      </w:r>
      <w:r>
        <w:rPr>
          <w:rFonts w:hint="eastAsia" w:ascii="Times New Roman" w:hAnsi="Times New Roman" w:eastAsia="楷体_GB2312" w:cs="楷体_GB2312"/>
          <w:sz w:val="32"/>
          <w:szCs w:val="32"/>
          <w:lang w:val="en-AU"/>
        </w:rPr>
        <w:t>）清水环通调度决策业务应用建设</w:t>
      </w:r>
    </w:p>
    <w:p>
      <w:pPr>
        <w:spacing w:line="58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以水位、流速、水质为控制指标，基于江北区清水环通方案，构建活水智能调度模型，针对活水调度需求，建设“多元监控、智能诊断、科学决策”的江北区清水环通调度决策业务应用，全面提升江北区水环境现代化管理水平和科学决策能力。</w:t>
      </w:r>
    </w:p>
    <w:p>
      <w:pPr>
        <w:spacing w:before="156" w:beforeLines="50" w:line="580" w:lineRule="exact"/>
        <w:ind w:firstLine="640" w:firstLineChars="200"/>
        <w:rPr>
          <w:rFonts w:ascii="Times New Roman" w:hAnsi="Times New Roman" w:eastAsia="楷体_GB2312" w:cs="楷体_GB2312"/>
          <w:sz w:val="32"/>
          <w:szCs w:val="32"/>
          <w:lang w:val="en-AU"/>
        </w:rPr>
      </w:pPr>
      <w:r>
        <w:rPr>
          <w:rFonts w:hint="eastAsia" w:ascii="Times New Roman" w:hAnsi="Times New Roman" w:eastAsia="楷体_GB2312" w:cs="楷体_GB2312"/>
          <w:sz w:val="32"/>
          <w:szCs w:val="32"/>
          <w:lang w:val="en-AU"/>
        </w:rPr>
        <w:t>（</w:t>
      </w:r>
      <w:r>
        <w:rPr>
          <w:rFonts w:hint="eastAsia" w:ascii="Times New Roman" w:hAnsi="Times New Roman" w:eastAsia="楷体_GB2312" w:cs="楷体_GB2312"/>
          <w:sz w:val="32"/>
          <w:szCs w:val="32"/>
        </w:rPr>
        <w:t>四</w:t>
      </w:r>
      <w:r>
        <w:rPr>
          <w:rFonts w:hint="eastAsia" w:ascii="Times New Roman" w:hAnsi="Times New Roman" w:eastAsia="楷体_GB2312" w:cs="楷体_GB2312"/>
          <w:sz w:val="32"/>
          <w:szCs w:val="32"/>
          <w:lang w:val="en-AU"/>
        </w:rPr>
        <w:t>）安全可靠运行保障体系建设</w:t>
      </w:r>
    </w:p>
    <w:p>
      <w:pPr>
        <w:spacing w:line="58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根据国家信息系统安全等级保护相关要求，以提升网络安全防护能力为抓手，加强物理安全、网络安全、应用安全建设；以加强监测预警能力为重点，合理设置预警规则，提高问题发现时效性；以提高应急处置能力为目标，完善网络安全责任体系，建立水利网络应急响应机制，提升网络与信息安全事件应急管理水平，保障水利信息化健康发展。</w:t>
      </w:r>
    </w:p>
    <w:p>
      <w:pPr>
        <w:spacing w:before="156" w:beforeLines="50" w:line="580" w:lineRule="exact"/>
        <w:ind w:firstLine="640" w:firstLineChars="200"/>
        <w:rPr>
          <w:rFonts w:ascii="Times New Roman" w:hAnsi="Times New Roman" w:eastAsia="楷体_GB2312" w:cs="楷体_GB2312"/>
          <w:sz w:val="32"/>
          <w:szCs w:val="32"/>
          <w:lang w:val="en-AU"/>
        </w:rPr>
      </w:pPr>
      <w:r>
        <w:rPr>
          <w:rFonts w:hint="eastAsia" w:ascii="Times New Roman" w:hAnsi="Times New Roman" w:eastAsia="楷体_GB2312" w:cs="楷体_GB2312"/>
          <w:sz w:val="32"/>
          <w:szCs w:val="32"/>
          <w:lang w:val="en-AU"/>
        </w:rPr>
        <w:t>（</w:t>
      </w:r>
      <w:r>
        <w:rPr>
          <w:rFonts w:hint="eastAsia" w:ascii="Times New Roman" w:hAnsi="Times New Roman" w:eastAsia="楷体_GB2312" w:cs="楷体_GB2312"/>
          <w:sz w:val="32"/>
          <w:szCs w:val="32"/>
        </w:rPr>
        <w:t>五</w:t>
      </w:r>
      <w:r>
        <w:rPr>
          <w:rFonts w:hint="eastAsia" w:ascii="Times New Roman" w:hAnsi="Times New Roman" w:eastAsia="楷体_GB2312" w:cs="楷体_GB2312"/>
          <w:sz w:val="32"/>
          <w:szCs w:val="32"/>
          <w:lang w:val="en-AU"/>
        </w:rPr>
        <w:t>）规范协同制度保障体系建设</w:t>
      </w:r>
    </w:p>
    <w:p>
      <w:pPr>
        <w:spacing w:line="58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依据水利部发布的《水利信息化标准指南（一）》、《水利技术标准体系表》等文件的要求，根据江北区智慧水利建设需求，编制《江北区智慧水利标准规范体系》等内容，指导本区水利后续信息化建设。</w:t>
      </w:r>
    </w:p>
    <w:p>
      <w:pPr>
        <w:spacing w:before="156" w:beforeLines="50" w:after="156" w:afterLines="50" w:line="580" w:lineRule="exact"/>
        <w:outlineLvl w:val="2"/>
        <w:rPr>
          <w:rFonts w:ascii="Times New Roman" w:hAnsi="Times New Roman" w:eastAsia="仿宋_GB2312" w:cs="仿宋_GB2312"/>
          <w:b/>
          <w:sz w:val="32"/>
          <w:szCs w:val="32"/>
        </w:rPr>
      </w:pPr>
      <w:r>
        <w:rPr>
          <w:rFonts w:hint="eastAsia" w:ascii="Times New Roman" w:hAnsi="Times New Roman" w:eastAsia="仿宋_GB2312" w:cs="仿宋_GB2312"/>
          <w:b/>
          <w:sz w:val="32"/>
          <w:szCs w:val="32"/>
        </w:rPr>
        <w:t>五、完善管控有力的现代化水管理体系</w:t>
      </w:r>
    </w:p>
    <w:p>
      <w:pPr>
        <w:spacing w:line="58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以智慧水利建设为抓手，全面深化体制机制改革与创新，提升水利现代化管理水平，全面建成“体制顺畅、机制灵活、队伍专业、手段先进”的水管理与服务体系。“十四五”期间，落实最严格水资源管理“三条红线”，重点完成节水型社会创建，节水管理达到世界水平。以依法治水为目标，理顺管理体制，完善涉水法律法规、管理制度建设，加强发展保障，强化河湖水域监管，依法治水、管水。</w:t>
      </w:r>
    </w:p>
    <w:p>
      <w:pPr>
        <w:spacing w:line="540" w:lineRule="exact"/>
        <w:ind w:firstLine="480" w:firstLineChars="200"/>
        <w:rPr>
          <w:rFonts w:ascii="Times New Roman" w:hAnsi="Times New Roman" w:eastAsia="宋体" w:cs="Times New Roman"/>
          <w:sz w:val="24"/>
        </w:rPr>
      </w:pPr>
    </w:p>
    <w:p>
      <w:pPr>
        <w:spacing w:line="540" w:lineRule="exact"/>
        <w:ind w:firstLine="480" w:firstLineChars="200"/>
        <w:rPr>
          <w:rFonts w:ascii="Times New Roman" w:hAnsi="Times New Roman" w:eastAsia="宋体" w:cs="Times New Roman"/>
          <w:sz w:val="24"/>
        </w:rPr>
        <w:sectPr>
          <w:headerReference r:id="rId10" w:type="default"/>
          <w:pgSz w:w="11906" w:h="16838"/>
          <w:pgMar w:top="1440" w:right="1800" w:bottom="1440" w:left="1800" w:header="851" w:footer="992" w:gutter="0"/>
          <w:pgNumType w:fmt="numberInDash"/>
          <w:cols w:space="425" w:num="1"/>
          <w:docGrid w:type="lines" w:linePitch="312" w:charSpace="0"/>
        </w:sectPr>
      </w:pPr>
    </w:p>
    <w:p>
      <w:pPr>
        <w:keepNext/>
        <w:keepLines/>
        <w:spacing w:before="312" w:beforeLines="100" w:after="312" w:afterLines="100" w:line="540" w:lineRule="exact"/>
        <w:jc w:val="center"/>
        <w:outlineLvl w:val="0"/>
        <w:rPr>
          <w:rFonts w:ascii="Times New Roman" w:hAnsi="Times New Roman" w:eastAsia="黑体" w:cs="Times New Roman"/>
          <w:bCs/>
          <w:kern w:val="44"/>
          <w:sz w:val="36"/>
          <w:szCs w:val="36"/>
        </w:rPr>
      </w:pPr>
      <w:bookmarkStart w:id="19" w:name="_Toc27664"/>
      <w:r>
        <w:rPr>
          <w:rFonts w:hint="eastAsia" w:ascii="Times New Roman" w:hAnsi="Times New Roman" w:eastAsia="黑体" w:cs="Times New Roman"/>
          <w:bCs/>
          <w:kern w:val="44"/>
          <w:sz w:val="36"/>
          <w:szCs w:val="36"/>
        </w:rPr>
        <w:t>第四章  管理建设主要任务</w:t>
      </w:r>
      <w:bookmarkEnd w:id="19"/>
    </w:p>
    <w:p>
      <w:pPr>
        <w:pStyle w:val="3"/>
        <w:spacing w:before="312" w:beforeLines="100" w:after="312" w:afterLines="100" w:line="580" w:lineRule="exact"/>
        <w:jc w:val="center"/>
        <w:rPr>
          <w:rFonts w:ascii="Times New Roman" w:hAnsi="Times New Roman" w:cstheme="minorBidi"/>
          <w:b w:val="0"/>
          <w:bCs w:val="0"/>
          <w:szCs w:val="24"/>
        </w:rPr>
      </w:pPr>
      <w:bookmarkStart w:id="20" w:name="_Toc5746"/>
      <w:r>
        <w:rPr>
          <w:rFonts w:hint="eastAsia" w:ascii="Times New Roman" w:hAnsi="Times New Roman" w:cstheme="minorBidi"/>
          <w:b w:val="0"/>
          <w:bCs w:val="0"/>
          <w:szCs w:val="24"/>
        </w:rPr>
        <w:t>第一节 理顺管理体制</w:t>
      </w:r>
      <w:bookmarkEnd w:id="20"/>
    </w:p>
    <w:p>
      <w:pPr>
        <w:spacing w:before="156" w:beforeLines="50" w:after="156" w:afterLines="50" w:line="580" w:lineRule="exact"/>
        <w:outlineLvl w:val="2"/>
        <w:rPr>
          <w:rFonts w:ascii="Times New Roman" w:hAnsi="Times New Roman" w:eastAsia="仿宋_GB2312" w:cs="仿宋_GB2312"/>
          <w:b/>
          <w:sz w:val="32"/>
          <w:szCs w:val="32"/>
        </w:rPr>
      </w:pPr>
      <w:r>
        <w:rPr>
          <w:rFonts w:hint="eastAsia" w:ascii="Times New Roman" w:hAnsi="Times New Roman" w:eastAsia="仿宋_GB2312" w:cs="仿宋_GB2312"/>
          <w:b/>
          <w:sz w:val="32"/>
          <w:szCs w:val="32"/>
        </w:rPr>
        <w:t>一、完善水行政管理体系</w:t>
      </w:r>
    </w:p>
    <w:p>
      <w:pPr>
        <w:spacing w:line="58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根据全区水行政体制格局，进一步明确水行政管理体系，树立综合水利理念，依法切实履行防洪治涝、水资源管理、水生态治理保护、水工程建设管理、水利设施养护监督等行政管理职能。</w:t>
      </w:r>
    </w:p>
    <w:p>
      <w:pPr>
        <w:spacing w:before="156" w:beforeLines="50" w:after="156" w:afterLines="50" w:line="580" w:lineRule="exact"/>
        <w:outlineLvl w:val="2"/>
        <w:rPr>
          <w:rFonts w:ascii="Times New Roman" w:hAnsi="Times New Roman" w:eastAsia="仿宋_GB2312" w:cs="仿宋_GB2312"/>
          <w:b/>
          <w:sz w:val="32"/>
          <w:szCs w:val="32"/>
        </w:rPr>
      </w:pPr>
      <w:r>
        <w:rPr>
          <w:rFonts w:hint="eastAsia" w:ascii="Times New Roman" w:hAnsi="Times New Roman" w:eastAsia="仿宋_GB2312" w:cs="仿宋_GB2312"/>
          <w:b/>
          <w:sz w:val="32"/>
          <w:szCs w:val="32"/>
        </w:rPr>
        <w:t>二、健全基层水利管理服务体系</w:t>
      </w:r>
    </w:p>
    <w:p>
      <w:pPr>
        <w:spacing w:line="58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进一步整合江北区直属的区域水管理机构，具体承担水资源管理、防汛防台抗旱、河网水系养护、农田水利建设、水利科技推广等组织协调和管理服务的实施工作。建立农村水管员队伍，加强村级水利公共管理和服务，解决农村水利“最后一公里”管护和服务问题。鼓励和引导以灌区和村等为单元组建农村水利会等农民用水合作组织，推行农民自治管理模式，填补农村小型农田水利工程管理主体的缺位。</w:t>
      </w:r>
    </w:p>
    <w:p>
      <w:pPr>
        <w:spacing w:before="156" w:beforeLines="50" w:after="156" w:afterLines="50" w:line="580" w:lineRule="exact"/>
        <w:outlineLvl w:val="2"/>
        <w:rPr>
          <w:rFonts w:ascii="Times New Roman" w:hAnsi="Times New Roman" w:eastAsia="仿宋_GB2312" w:cs="仿宋_GB2312"/>
          <w:b/>
          <w:sz w:val="32"/>
          <w:szCs w:val="32"/>
        </w:rPr>
      </w:pPr>
      <w:r>
        <w:rPr>
          <w:rFonts w:hint="eastAsia" w:ascii="Times New Roman" w:hAnsi="Times New Roman" w:eastAsia="仿宋_GB2312" w:cs="仿宋_GB2312"/>
          <w:b/>
          <w:sz w:val="32"/>
          <w:szCs w:val="32"/>
        </w:rPr>
        <w:t>三、统筹城乡河网水系管理</w:t>
      </w:r>
    </w:p>
    <w:p>
      <w:pPr>
        <w:spacing w:line="58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紧跟城市化发展步伐，实行城乡河道统一管理，建立河道管理专职机构，消除河道管理的城乡分隔。以流域为单元统筹河道防洪排涝调度、生态等用水调配、水生态系统治理；以行政区为单元强化河网水域的整治、水利设施的养护和水行政监管职责。</w:t>
      </w:r>
    </w:p>
    <w:p>
      <w:pPr>
        <w:spacing w:before="156" w:beforeLines="50" w:after="156" w:afterLines="50" w:line="580" w:lineRule="exact"/>
        <w:outlineLvl w:val="2"/>
        <w:rPr>
          <w:rFonts w:ascii="Times New Roman" w:hAnsi="Times New Roman" w:eastAsia="仿宋_GB2312" w:cs="仿宋_GB2312"/>
          <w:b/>
          <w:sz w:val="32"/>
          <w:szCs w:val="32"/>
        </w:rPr>
      </w:pPr>
      <w:r>
        <w:rPr>
          <w:rFonts w:hint="eastAsia" w:ascii="Times New Roman" w:hAnsi="Times New Roman" w:eastAsia="仿宋_GB2312" w:cs="仿宋_GB2312"/>
          <w:b/>
          <w:sz w:val="32"/>
          <w:szCs w:val="32"/>
        </w:rPr>
        <w:t>四、加强依法治水</w:t>
      </w:r>
    </w:p>
    <w:p>
      <w:pPr>
        <w:spacing w:line="580" w:lineRule="exact"/>
        <w:ind w:firstLine="640" w:firstLineChars="200"/>
        <w:rPr>
          <w:rFonts w:ascii="Times New Roman" w:hAnsi="Times New Roman" w:eastAsia="仿宋_GB2312" w:cs="仿宋_GB2312"/>
          <w:sz w:val="32"/>
          <w:szCs w:val="32"/>
        </w:rPr>
      </w:pPr>
      <w:bookmarkStart w:id="21" w:name="_Hlk57186375"/>
      <w:r>
        <w:rPr>
          <w:rFonts w:hint="eastAsia" w:ascii="Times New Roman" w:hAnsi="Times New Roman" w:eastAsia="仿宋_GB2312" w:cs="仿宋_GB2312"/>
          <w:sz w:val="32"/>
          <w:szCs w:val="32"/>
        </w:rPr>
        <w:t>以“废、改、并、立”为抓手，制定相关法规规章，建立健全水法规体系。构建监督制度体系架构</w:t>
      </w:r>
      <w:bookmarkEnd w:id="21"/>
      <w:r>
        <w:rPr>
          <w:rFonts w:hint="eastAsia" w:ascii="Times New Roman" w:hAnsi="Times New Roman" w:eastAsia="仿宋_GB2312" w:cs="仿宋_GB2312"/>
          <w:sz w:val="32"/>
          <w:szCs w:val="32"/>
        </w:rPr>
        <w:t>，出台水利监督规定和水利监督队伍管理办法，深入开展河湖综合执法行动、“清四乱”、“无违建河道”创建等工作，严厉打击水事违法行为。</w:t>
      </w:r>
    </w:p>
    <w:p>
      <w:pPr>
        <w:spacing w:before="156" w:beforeLines="50" w:after="156" w:afterLines="50" w:line="580" w:lineRule="exact"/>
        <w:outlineLvl w:val="2"/>
        <w:rPr>
          <w:rFonts w:ascii="Times New Roman" w:hAnsi="Times New Roman" w:eastAsia="仿宋_GB2312" w:cs="仿宋_GB2312"/>
          <w:b/>
          <w:sz w:val="32"/>
          <w:szCs w:val="32"/>
        </w:rPr>
      </w:pPr>
      <w:r>
        <w:rPr>
          <w:rFonts w:hint="eastAsia" w:ascii="Times New Roman" w:hAnsi="Times New Roman" w:eastAsia="仿宋_GB2312" w:cs="仿宋_GB2312"/>
          <w:b/>
          <w:sz w:val="32"/>
          <w:szCs w:val="32"/>
        </w:rPr>
        <w:t>五、完善智慧水利建设体系</w:t>
      </w:r>
    </w:p>
    <w:p>
      <w:pPr>
        <w:spacing w:line="58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以实现水利现代化为目标，以智慧管理为手段，进一步完善监测体系建设，积极拓展智慧水利管理业务领域，将水利工程、水资源管理等等相关业务，全面纳入智慧水利管理平台范围内，实现水利管理智慧化。</w:t>
      </w:r>
    </w:p>
    <w:p>
      <w:pPr>
        <w:spacing w:before="156" w:beforeLines="50" w:after="156" w:afterLines="50" w:line="580" w:lineRule="exact"/>
        <w:outlineLvl w:val="2"/>
        <w:rPr>
          <w:rFonts w:ascii="Times New Roman" w:hAnsi="Times New Roman" w:eastAsia="仿宋_GB2312" w:cs="仿宋_GB2312"/>
          <w:b/>
          <w:sz w:val="32"/>
          <w:szCs w:val="32"/>
        </w:rPr>
      </w:pPr>
      <w:r>
        <w:rPr>
          <w:rFonts w:hint="eastAsia" w:ascii="Times New Roman" w:hAnsi="Times New Roman" w:eastAsia="仿宋_GB2312" w:cs="仿宋_GB2312"/>
          <w:b/>
          <w:sz w:val="32"/>
          <w:szCs w:val="32"/>
        </w:rPr>
        <w:t>六、推动水利工程标准化和产权化、物业化、数字化“三化”改革</w:t>
      </w:r>
    </w:p>
    <w:p>
      <w:pPr>
        <w:spacing w:line="58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深入开展水利工程标准化管理，推进水利工程管理产权化、物业化、数字化“三化”改革，建立水利工程长效管理机制，进一步巩固提升工程现代化管理水平</w:t>
      </w:r>
    </w:p>
    <w:p>
      <w:pPr>
        <w:pStyle w:val="3"/>
        <w:spacing w:before="312" w:beforeLines="100" w:after="312" w:afterLines="100" w:line="580" w:lineRule="exact"/>
        <w:jc w:val="center"/>
        <w:rPr>
          <w:rFonts w:ascii="Times New Roman" w:hAnsi="Times New Roman" w:cstheme="minorBidi"/>
          <w:b w:val="0"/>
          <w:bCs w:val="0"/>
          <w:szCs w:val="24"/>
        </w:rPr>
      </w:pPr>
      <w:bookmarkStart w:id="22" w:name="_Toc24027"/>
      <w:r>
        <w:rPr>
          <w:rFonts w:hint="eastAsia" w:ascii="Times New Roman" w:hAnsi="Times New Roman" w:cstheme="minorBidi"/>
          <w:b w:val="0"/>
          <w:bCs w:val="0"/>
          <w:szCs w:val="24"/>
        </w:rPr>
        <w:t>第二节 节约用水管理</w:t>
      </w:r>
      <w:bookmarkEnd w:id="22"/>
    </w:p>
    <w:p>
      <w:pPr>
        <w:spacing w:before="156" w:beforeLines="50" w:after="156" w:afterLines="50" w:line="580" w:lineRule="exact"/>
        <w:outlineLvl w:val="2"/>
        <w:rPr>
          <w:rFonts w:ascii="Times New Roman" w:hAnsi="Times New Roman" w:eastAsia="仿宋_GB2312" w:cs="仿宋_GB2312"/>
          <w:b/>
          <w:sz w:val="32"/>
          <w:szCs w:val="32"/>
        </w:rPr>
      </w:pPr>
      <w:r>
        <w:rPr>
          <w:rFonts w:hint="eastAsia" w:ascii="Times New Roman" w:hAnsi="Times New Roman" w:eastAsia="仿宋_GB2312" w:cs="仿宋_GB2312"/>
          <w:b/>
          <w:sz w:val="32"/>
          <w:szCs w:val="32"/>
        </w:rPr>
        <w:t>一、全面深化水价改革</w:t>
      </w:r>
    </w:p>
    <w:p>
      <w:pPr>
        <w:spacing w:line="58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完善居民阶梯水价和非居民用水分类水价制度，完善城镇非居民用水超定额累进加价制度。加快推进农业水价综合改革，落实农业用水精准补贴。加强用水计量统计。实施节水统计调查和用水统计制度，推进取用水计量统计，提高农业灌溉、工业和市政用水计量率。健全节水奖励机制和用水信用惩戒机制。组织建立节水奖励机制，对节水项目给予政策支持，并建立健全用水信用惩戒机制，将节水工作纳入社会信用体系建设。</w:t>
      </w:r>
    </w:p>
    <w:p>
      <w:pPr>
        <w:spacing w:before="156" w:beforeLines="50" w:after="156" w:afterLines="50" w:line="580" w:lineRule="exact"/>
        <w:outlineLvl w:val="2"/>
        <w:rPr>
          <w:rFonts w:ascii="Times New Roman" w:hAnsi="Times New Roman" w:eastAsia="仿宋_GB2312" w:cs="仿宋_GB2312"/>
          <w:b/>
          <w:sz w:val="32"/>
          <w:szCs w:val="32"/>
        </w:rPr>
      </w:pPr>
      <w:r>
        <w:rPr>
          <w:rFonts w:hint="eastAsia" w:ascii="Times New Roman" w:hAnsi="Times New Roman" w:eastAsia="仿宋_GB2312" w:cs="仿宋_GB2312"/>
          <w:b/>
          <w:sz w:val="32"/>
          <w:szCs w:val="32"/>
        </w:rPr>
        <w:t>二、完成节水型社会创建</w:t>
      </w:r>
    </w:p>
    <w:p>
      <w:pPr>
        <w:spacing w:line="58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完成节水型社会创建，严格执行浙江省节水标准，逐步建立节水标准执行情况跟踪、评估和监督机制。到2025年，江北区用水总量0.97亿m</w:t>
      </w:r>
      <w:r>
        <w:rPr>
          <w:rFonts w:hint="eastAsia" w:ascii="Times New Roman" w:hAnsi="Times New Roman" w:eastAsia="仿宋_GB2312" w:cs="仿宋_GB2312"/>
          <w:sz w:val="32"/>
          <w:szCs w:val="32"/>
          <w:vertAlign w:val="superscript"/>
        </w:rPr>
        <w:t>3</w:t>
      </w:r>
      <w:r>
        <w:rPr>
          <w:rFonts w:hint="eastAsia" w:ascii="Times New Roman" w:hAnsi="Times New Roman" w:eastAsia="仿宋_GB2312" w:cs="仿宋_GB2312"/>
          <w:sz w:val="32"/>
          <w:szCs w:val="32"/>
        </w:rPr>
        <w:t>，万元GDP用水量、万元工业增加值用水量分别下降至11.9 m</w:t>
      </w:r>
      <w:r>
        <w:rPr>
          <w:rFonts w:hint="eastAsia" w:ascii="Times New Roman" w:hAnsi="Times New Roman" w:eastAsia="仿宋_GB2312" w:cs="仿宋_GB2312"/>
          <w:sz w:val="32"/>
          <w:szCs w:val="32"/>
          <w:vertAlign w:val="superscript"/>
        </w:rPr>
        <w:t>3</w:t>
      </w:r>
      <w:r>
        <w:rPr>
          <w:rFonts w:hint="eastAsia" w:ascii="Times New Roman" w:hAnsi="Times New Roman" w:eastAsia="仿宋_GB2312" w:cs="仿宋_GB2312"/>
          <w:sz w:val="32"/>
          <w:szCs w:val="32"/>
        </w:rPr>
        <w:t>、7.0 m</w:t>
      </w:r>
      <w:r>
        <w:rPr>
          <w:rFonts w:hint="eastAsia" w:ascii="Times New Roman" w:hAnsi="Times New Roman" w:eastAsia="仿宋_GB2312" w:cs="仿宋_GB2312"/>
          <w:sz w:val="32"/>
          <w:szCs w:val="32"/>
          <w:vertAlign w:val="superscript"/>
        </w:rPr>
        <w:t>3</w:t>
      </w:r>
      <w:r>
        <w:rPr>
          <w:rFonts w:hint="eastAsia" w:ascii="Times New Roman" w:hAnsi="Times New Roman" w:eastAsia="仿宋_GB2312" w:cs="仿宋_GB2312"/>
          <w:sz w:val="32"/>
          <w:szCs w:val="32"/>
        </w:rPr>
        <w:t>。公共管网漏损率≤9%，农灌水有效利用系数0.63。</w:t>
      </w:r>
    </w:p>
    <w:p>
      <w:pPr>
        <w:spacing w:before="156" w:beforeLines="50" w:after="156" w:afterLines="50" w:line="580" w:lineRule="exact"/>
        <w:outlineLvl w:val="2"/>
        <w:rPr>
          <w:rFonts w:ascii="Times New Roman" w:hAnsi="Times New Roman" w:eastAsia="仿宋_GB2312" w:cs="仿宋_GB2312"/>
          <w:b/>
          <w:sz w:val="32"/>
          <w:szCs w:val="32"/>
        </w:rPr>
      </w:pPr>
      <w:r>
        <w:rPr>
          <w:rFonts w:hint="eastAsia" w:ascii="Times New Roman" w:hAnsi="Times New Roman" w:eastAsia="仿宋_GB2312" w:cs="仿宋_GB2312"/>
          <w:b/>
          <w:sz w:val="32"/>
          <w:szCs w:val="32"/>
        </w:rPr>
        <w:t>三、市场机制创新</w:t>
      </w:r>
    </w:p>
    <w:p>
      <w:pPr>
        <w:spacing w:line="58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落实水效标识制度和实施节水产品认证，积极探索合同节水管理。创新节水服务模式，鼓励和引导社会资本参与有一定收益的节水项目建设和运营。开展节水设计、改造、计量、咨询等服务，提供整体解决方案。积极推动合同节水管理试点工作。实施水效领跑者引领行动。在节水型载体创建的基础上，择优选取用水效率高、节水工艺先进、节水管理经验丰富的企业、公共机构、小区、灌区，积极申报国家级或省级水效领跑者和节水标杆企业。</w:t>
      </w:r>
    </w:p>
    <w:p>
      <w:pPr>
        <w:pStyle w:val="3"/>
        <w:spacing w:before="312" w:beforeLines="100" w:after="312" w:afterLines="100" w:line="580" w:lineRule="exact"/>
        <w:jc w:val="center"/>
        <w:rPr>
          <w:rFonts w:ascii="Times New Roman" w:hAnsi="Times New Roman" w:cstheme="minorBidi"/>
          <w:b w:val="0"/>
          <w:bCs w:val="0"/>
          <w:szCs w:val="24"/>
        </w:rPr>
      </w:pPr>
      <w:bookmarkStart w:id="23" w:name="_Toc5603"/>
      <w:r>
        <w:rPr>
          <w:rFonts w:hint="eastAsia" w:ascii="Times New Roman" w:hAnsi="Times New Roman" w:cstheme="minorBidi"/>
          <w:b w:val="0"/>
          <w:bCs w:val="0"/>
          <w:szCs w:val="24"/>
        </w:rPr>
        <w:t>第三节 强化河湖水域监管</w:t>
      </w:r>
      <w:bookmarkEnd w:id="23"/>
    </w:p>
    <w:p>
      <w:pPr>
        <w:spacing w:before="156" w:beforeLines="50" w:after="156" w:afterLines="50" w:line="580" w:lineRule="exact"/>
        <w:outlineLvl w:val="2"/>
        <w:rPr>
          <w:rFonts w:ascii="Times New Roman" w:hAnsi="Times New Roman" w:eastAsia="仿宋_GB2312" w:cs="仿宋_GB2312"/>
          <w:b/>
          <w:sz w:val="32"/>
          <w:szCs w:val="32"/>
        </w:rPr>
      </w:pPr>
      <w:r>
        <w:rPr>
          <w:rFonts w:hint="eastAsia" w:ascii="Times New Roman" w:hAnsi="Times New Roman" w:eastAsia="仿宋_GB2312" w:cs="仿宋_GB2312"/>
          <w:b/>
          <w:sz w:val="32"/>
          <w:szCs w:val="32"/>
        </w:rPr>
        <w:t>一、科学划定水生态空间</w:t>
      </w:r>
    </w:p>
    <w:p>
      <w:pPr>
        <w:spacing w:line="58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合理布局生产、生活和生态空间，科学确定水源涵养区、水土保持区、饮用水水源保护区等水生态空间范围，全面完成县级以上河道、水库、山塘和湖泊的管理范围划界工作，厘清水域保护和岸线管控的范围，开展水流产权确权，建立全区统一的水域空间数据库和水域空间动态管理一张图。</w:t>
      </w:r>
    </w:p>
    <w:p>
      <w:pPr>
        <w:spacing w:before="156" w:beforeLines="50" w:after="156" w:afterLines="50" w:line="580" w:lineRule="exact"/>
        <w:outlineLvl w:val="2"/>
        <w:rPr>
          <w:rFonts w:ascii="Times New Roman" w:hAnsi="Times New Roman" w:eastAsia="仿宋_GB2312" w:cs="仿宋_GB2312"/>
          <w:b/>
          <w:sz w:val="32"/>
          <w:szCs w:val="32"/>
        </w:rPr>
      </w:pPr>
      <w:r>
        <w:rPr>
          <w:rFonts w:hint="eastAsia" w:ascii="Times New Roman" w:hAnsi="Times New Roman" w:eastAsia="仿宋_GB2312" w:cs="仿宋_GB2312"/>
          <w:b/>
          <w:sz w:val="32"/>
          <w:szCs w:val="32"/>
        </w:rPr>
        <w:t>二、加强水域监管</w:t>
      </w:r>
    </w:p>
    <w:p>
      <w:pPr>
        <w:spacing w:line="58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全面建立完善水域空间监控网络，创新监管模式，积极利用卫星遥感、视频监控、无人机等手段，建立水域年度调查统计和动态监测机制；健全监管体系，强化对各类水生态空间占用、损害和破坏行为的监管和处罚力度，严守水生态保护红线，确保水生态空间面积不缩小、数量不减少、功能不降低。</w:t>
      </w:r>
    </w:p>
    <w:p>
      <w:pPr>
        <w:spacing w:before="156" w:beforeLines="50" w:after="156" w:afterLines="50" w:line="580" w:lineRule="exact"/>
        <w:outlineLvl w:val="2"/>
        <w:rPr>
          <w:rFonts w:ascii="Times New Roman" w:hAnsi="Times New Roman" w:eastAsia="仿宋_GB2312" w:cs="仿宋_GB2312"/>
          <w:b/>
          <w:sz w:val="32"/>
          <w:szCs w:val="32"/>
        </w:rPr>
      </w:pPr>
      <w:r>
        <w:rPr>
          <w:rFonts w:hint="eastAsia" w:ascii="Times New Roman" w:hAnsi="Times New Roman" w:eastAsia="仿宋_GB2312" w:cs="仿宋_GB2312"/>
          <w:b/>
          <w:sz w:val="32"/>
          <w:szCs w:val="32"/>
        </w:rPr>
        <w:t>三、全面推行区域水影响评估制度</w:t>
      </w:r>
    </w:p>
    <w:p>
      <w:pPr>
        <w:spacing w:line="58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为全面落实省委、省政府“最多跑一次”改革决策部署，深化“标准低”改革，进一步推进投资项目审批减事项、减环节、减材料、减时间、减费用，全面推行区域水影响评估制度。</w:t>
      </w:r>
    </w:p>
    <w:p>
      <w:pPr>
        <w:spacing w:line="580" w:lineRule="exact"/>
        <w:ind w:firstLine="640" w:firstLineChars="200"/>
        <w:rPr>
          <w:rFonts w:ascii="Times New Roman" w:hAnsi="Times New Roman" w:eastAsia="仿宋_GB2312" w:cs="仿宋_GB2312"/>
          <w:sz w:val="32"/>
          <w:szCs w:val="32"/>
        </w:rPr>
      </w:pPr>
    </w:p>
    <w:p>
      <w:pPr>
        <w:pStyle w:val="3"/>
        <w:spacing w:before="312" w:beforeLines="100" w:after="312" w:afterLines="100" w:line="580" w:lineRule="exact"/>
        <w:jc w:val="center"/>
        <w:rPr>
          <w:rFonts w:ascii="Times New Roman" w:hAnsi="Times New Roman" w:cstheme="minorBidi"/>
          <w:b w:val="0"/>
          <w:bCs w:val="0"/>
          <w:szCs w:val="24"/>
        </w:rPr>
      </w:pPr>
      <w:bookmarkStart w:id="24" w:name="_Toc23863"/>
      <w:r>
        <w:rPr>
          <w:rFonts w:hint="eastAsia" w:ascii="Times New Roman" w:hAnsi="Times New Roman" w:cstheme="minorBidi"/>
          <w:b w:val="0"/>
          <w:bCs w:val="0"/>
          <w:szCs w:val="24"/>
        </w:rPr>
        <w:t>第四节 加强发展保障</w:t>
      </w:r>
      <w:bookmarkEnd w:id="24"/>
    </w:p>
    <w:p>
      <w:pPr>
        <w:spacing w:before="156" w:beforeLines="50" w:after="156" w:afterLines="50" w:line="580" w:lineRule="exact"/>
        <w:outlineLvl w:val="2"/>
        <w:rPr>
          <w:rFonts w:ascii="Times New Roman" w:hAnsi="Times New Roman" w:eastAsia="仿宋_GB2312" w:cs="仿宋_GB2312"/>
          <w:b/>
          <w:sz w:val="32"/>
          <w:szCs w:val="32"/>
        </w:rPr>
      </w:pPr>
      <w:r>
        <w:rPr>
          <w:rFonts w:hint="eastAsia" w:ascii="Times New Roman" w:hAnsi="Times New Roman" w:eastAsia="仿宋_GB2312" w:cs="仿宋_GB2312"/>
          <w:b/>
          <w:sz w:val="32"/>
          <w:szCs w:val="32"/>
        </w:rPr>
        <w:t>一、确保水利投入稳定增长</w:t>
      </w:r>
    </w:p>
    <w:p>
      <w:pPr>
        <w:spacing w:line="58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认真贯彻实施中央和市委市政府文件精神，落实各项方针政策，建立健全水利投入稳定增长机制。加强对水利建设的金融支持，贯彻落实进一步做好水利改革发展金融服务的意见。创新财政资金使用方式，充分利用国家对水利投融资平台的扶持政策，综合运用财政和货币政策，引导金融机构增加水利信贷资金。广泛吸引社会资金投资水利。鼓励符合条件的市、区政府融资公司通过直接、间接融资方式，拓宽水利投融资渠道，吸引社会资金参与水利建设。</w:t>
      </w:r>
    </w:p>
    <w:p>
      <w:pPr>
        <w:spacing w:before="156" w:beforeLines="50" w:after="156" w:afterLines="50" w:line="580" w:lineRule="exact"/>
        <w:outlineLvl w:val="2"/>
        <w:rPr>
          <w:rFonts w:ascii="Times New Roman" w:hAnsi="Times New Roman" w:eastAsia="仿宋_GB2312" w:cs="仿宋_GB2312"/>
          <w:b/>
          <w:sz w:val="32"/>
          <w:szCs w:val="32"/>
        </w:rPr>
      </w:pPr>
      <w:r>
        <w:rPr>
          <w:rFonts w:hint="eastAsia" w:ascii="Times New Roman" w:hAnsi="Times New Roman" w:eastAsia="仿宋_GB2312" w:cs="仿宋_GB2312"/>
          <w:b/>
          <w:sz w:val="32"/>
          <w:szCs w:val="32"/>
        </w:rPr>
        <w:t>二、支持水利科技创新</w:t>
      </w:r>
    </w:p>
    <w:p>
      <w:pPr>
        <w:spacing w:line="58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健全完善水利科技创新体系。鼓励和吸引宁波市本地、浙江省和全国性高校、科研机构开展江北区水利建设的应用基础和工程技术研究，为江北区的水利发展提供强有力的科技支撑。进一步提高从事水利成果推广、技术咨询、信息服务、专业培训、技术监督的机构的服务质量水平，促进水利科技成果的推广转化。</w:t>
      </w:r>
    </w:p>
    <w:p>
      <w:pPr>
        <w:spacing w:before="156" w:beforeLines="50" w:after="156" w:afterLines="50" w:line="580" w:lineRule="exact"/>
        <w:outlineLvl w:val="2"/>
        <w:rPr>
          <w:rFonts w:ascii="Times New Roman" w:hAnsi="Times New Roman" w:eastAsia="仿宋_GB2312" w:cs="仿宋_GB2312"/>
          <w:b/>
          <w:sz w:val="32"/>
          <w:szCs w:val="32"/>
        </w:rPr>
      </w:pPr>
      <w:r>
        <w:rPr>
          <w:rFonts w:hint="eastAsia" w:ascii="Times New Roman" w:hAnsi="Times New Roman" w:eastAsia="仿宋_GB2312" w:cs="仿宋_GB2312"/>
          <w:b/>
          <w:sz w:val="32"/>
          <w:szCs w:val="32"/>
        </w:rPr>
        <w:t>三、加强水利人才队伍建设</w:t>
      </w:r>
    </w:p>
    <w:p>
      <w:pPr>
        <w:spacing w:line="58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树立科学的人才观，坚持围绕中心、服务大局，坚持统筹兼顾、突出重点，坚持分级负责、分类实施，以县级及以下基层水利单位领导人才、专业技术人才、经营人才和高技能人才为重点，以提高基层水利职工队伍整体文化水平和专业素质为主要内容，健全和完善基层水利人才队伍建设体制机制。</w:t>
      </w:r>
    </w:p>
    <w:p>
      <w:pPr>
        <w:spacing w:line="580" w:lineRule="exact"/>
        <w:ind w:firstLine="640" w:firstLineChars="200"/>
        <w:rPr>
          <w:rFonts w:ascii="Times New Roman" w:hAnsi="Times New Roman" w:eastAsia="仿宋_GB2312" w:cs="仿宋_GB2312"/>
          <w:sz w:val="32"/>
          <w:szCs w:val="32"/>
        </w:rPr>
        <w:sectPr>
          <w:headerReference r:id="rId11" w:type="default"/>
          <w:pgSz w:w="11906" w:h="16838"/>
          <w:pgMar w:top="1440" w:right="1800" w:bottom="1440" w:left="1800" w:header="851" w:footer="992" w:gutter="0"/>
          <w:pgNumType w:fmt="numberInDash"/>
          <w:cols w:space="425" w:num="1"/>
          <w:docGrid w:type="lines" w:linePitch="312" w:charSpace="0"/>
        </w:sectPr>
      </w:pPr>
    </w:p>
    <w:p>
      <w:pPr>
        <w:keepNext/>
        <w:keepLines/>
        <w:spacing w:before="312" w:beforeLines="100" w:after="312" w:afterLines="100" w:line="540" w:lineRule="exact"/>
        <w:jc w:val="center"/>
        <w:outlineLvl w:val="0"/>
        <w:rPr>
          <w:rFonts w:ascii="Times New Roman" w:hAnsi="Times New Roman" w:eastAsia="黑体" w:cs="Times New Roman"/>
          <w:bCs/>
          <w:kern w:val="44"/>
          <w:sz w:val="36"/>
          <w:szCs w:val="36"/>
        </w:rPr>
      </w:pPr>
      <w:bookmarkStart w:id="25" w:name="_Toc10849"/>
      <w:r>
        <w:rPr>
          <w:rFonts w:hint="eastAsia" w:ascii="Times New Roman" w:hAnsi="Times New Roman" w:eastAsia="黑体" w:cs="Times New Roman"/>
          <w:bCs/>
          <w:kern w:val="44"/>
          <w:sz w:val="36"/>
          <w:szCs w:val="36"/>
        </w:rPr>
        <w:t>第五章  投资及用地需求</w:t>
      </w:r>
      <w:bookmarkEnd w:id="25"/>
    </w:p>
    <w:p>
      <w:pPr>
        <w:pStyle w:val="3"/>
        <w:spacing w:before="312" w:beforeLines="100" w:after="312" w:afterLines="100" w:line="580" w:lineRule="exact"/>
        <w:jc w:val="center"/>
        <w:rPr>
          <w:rFonts w:ascii="Times New Roman" w:hAnsi="Times New Roman" w:cstheme="minorBidi"/>
          <w:b w:val="0"/>
          <w:bCs w:val="0"/>
          <w:szCs w:val="24"/>
        </w:rPr>
      </w:pPr>
      <w:bookmarkStart w:id="26" w:name="_Toc17694"/>
      <w:r>
        <w:rPr>
          <w:rFonts w:hint="eastAsia" w:ascii="Times New Roman" w:hAnsi="Times New Roman" w:cstheme="minorBidi"/>
          <w:b w:val="0"/>
          <w:bCs w:val="0"/>
          <w:szCs w:val="24"/>
        </w:rPr>
        <w:t>第一节 投资测算</w:t>
      </w:r>
      <w:bookmarkEnd w:id="26"/>
    </w:p>
    <w:p>
      <w:pPr>
        <w:spacing w:line="58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“十四五”期间实施水利规划项目33项，总投资91.3亿元，计划投资33.7亿元。具体详见下表。各类水利建设项目投资结构分析见表5-1。</w:t>
      </w:r>
    </w:p>
    <w:p>
      <w:pPr>
        <w:pStyle w:val="44"/>
        <w:rPr>
          <w:color w:val="auto"/>
          <w:sz w:val="24"/>
        </w:rPr>
      </w:pPr>
      <w:r>
        <w:rPr>
          <w:rFonts w:hint="eastAsia"/>
          <w:color w:val="auto"/>
          <w:sz w:val="24"/>
        </w:rPr>
        <w:t>表5-1  江北区“十四五”水利投资结构分析表    单位：万元</w:t>
      </w:r>
    </w:p>
    <w:tbl>
      <w:tblPr>
        <w:tblStyle w:val="19"/>
        <w:tblW w:w="5000" w:type="pct"/>
        <w:tblInd w:w="0" w:type="dxa"/>
        <w:tblLayout w:type="autofit"/>
        <w:tblCellMar>
          <w:top w:w="0" w:type="dxa"/>
          <w:left w:w="108" w:type="dxa"/>
          <w:bottom w:w="0" w:type="dxa"/>
          <w:right w:w="108" w:type="dxa"/>
        </w:tblCellMar>
      </w:tblPr>
      <w:tblGrid>
        <w:gridCol w:w="3651"/>
        <w:gridCol w:w="1703"/>
        <w:gridCol w:w="1994"/>
        <w:gridCol w:w="1175"/>
      </w:tblGrid>
      <w:tr>
        <w:tblPrEx>
          <w:tblCellMar>
            <w:top w:w="0" w:type="dxa"/>
            <w:left w:w="108" w:type="dxa"/>
            <w:bottom w:w="0" w:type="dxa"/>
            <w:right w:w="108" w:type="dxa"/>
          </w:tblCellMar>
        </w:tblPrEx>
        <w:trPr>
          <w:trHeight w:val="397" w:hRule="atLeast"/>
        </w:trPr>
        <w:tc>
          <w:tcPr>
            <w:tcW w:w="2142" w:type="pc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eastAsia="宋体" w:cs="Arial"/>
                <w:b/>
                <w:bCs/>
                <w:kern w:val="0"/>
                <w:szCs w:val="21"/>
              </w:rPr>
            </w:pPr>
            <w:r>
              <w:rPr>
                <w:rFonts w:hint="eastAsia" w:ascii="Times New Roman" w:hAnsi="Times New Roman" w:eastAsia="方正黑体简体" w:cs="方正黑体简体"/>
                <w:kern w:val="0"/>
                <w:szCs w:val="21"/>
              </w:rPr>
              <w:t>分类</w:t>
            </w:r>
          </w:p>
        </w:tc>
        <w:tc>
          <w:tcPr>
            <w:tcW w:w="999" w:type="pct"/>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Arial"/>
                <w:b/>
                <w:bCs/>
                <w:kern w:val="0"/>
                <w:szCs w:val="21"/>
              </w:rPr>
            </w:pPr>
            <w:r>
              <w:rPr>
                <w:rFonts w:hint="eastAsia" w:ascii="Times New Roman" w:hAnsi="Times New Roman" w:eastAsia="方正黑体简体" w:cs="方正黑体简体"/>
                <w:kern w:val="0"/>
                <w:szCs w:val="21"/>
              </w:rPr>
              <w:t>项目个数</w:t>
            </w:r>
          </w:p>
        </w:tc>
        <w:tc>
          <w:tcPr>
            <w:tcW w:w="1170" w:type="pct"/>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宋体"/>
                <w:b/>
                <w:bCs/>
                <w:kern w:val="0"/>
                <w:szCs w:val="21"/>
              </w:rPr>
            </w:pPr>
            <w:r>
              <w:rPr>
                <w:rFonts w:hint="eastAsia" w:ascii="Times New Roman" w:hAnsi="Times New Roman" w:eastAsia="方正黑体简体" w:cs="方正黑体简体"/>
                <w:kern w:val="0"/>
                <w:szCs w:val="21"/>
              </w:rPr>
              <w:t>计划投资（亿元）</w:t>
            </w:r>
          </w:p>
        </w:tc>
        <w:tc>
          <w:tcPr>
            <w:tcW w:w="689"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宋体"/>
                <w:color w:val="000000"/>
                <w:kern w:val="0"/>
                <w:szCs w:val="21"/>
              </w:rPr>
            </w:pPr>
            <w:r>
              <w:rPr>
                <w:rFonts w:hint="eastAsia" w:ascii="Times New Roman" w:hAnsi="Times New Roman" w:eastAsia="方正黑体简体" w:cs="方正黑体简体"/>
                <w:kern w:val="0"/>
                <w:szCs w:val="21"/>
              </w:rPr>
              <w:t>投资占比</w:t>
            </w:r>
          </w:p>
        </w:tc>
      </w:tr>
      <w:tr>
        <w:tblPrEx>
          <w:tblCellMar>
            <w:top w:w="0" w:type="dxa"/>
            <w:left w:w="108" w:type="dxa"/>
            <w:bottom w:w="0" w:type="dxa"/>
            <w:right w:w="108" w:type="dxa"/>
          </w:tblCellMar>
        </w:tblPrEx>
        <w:trPr>
          <w:trHeight w:val="397" w:hRule="atLeast"/>
        </w:trPr>
        <w:tc>
          <w:tcPr>
            <w:tcW w:w="2142"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eastAsia="宋体" w:cs="Arial"/>
                <w:kern w:val="0"/>
                <w:szCs w:val="21"/>
              </w:rPr>
            </w:pPr>
            <w:r>
              <w:rPr>
                <w:rFonts w:hint="eastAsia" w:ascii="Times New Roman" w:hAnsi="Times New Roman" w:eastAsia="仿宋_GB2312" w:cs="方正仿宋简体"/>
                <w:szCs w:val="21"/>
              </w:rPr>
              <w:t>水灾害防御体系</w:t>
            </w:r>
          </w:p>
        </w:tc>
        <w:tc>
          <w:tcPr>
            <w:tcW w:w="999" w:type="pct"/>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宋体"/>
                <w:kern w:val="0"/>
                <w:szCs w:val="21"/>
              </w:rPr>
            </w:pPr>
            <w:r>
              <w:rPr>
                <w:rFonts w:hint="eastAsia" w:ascii="Times New Roman" w:hAnsi="Times New Roman" w:eastAsia="宋体" w:cs="宋体"/>
                <w:kern w:val="0"/>
                <w:szCs w:val="21"/>
              </w:rPr>
              <w:t>14</w:t>
            </w:r>
          </w:p>
        </w:tc>
        <w:tc>
          <w:tcPr>
            <w:tcW w:w="1170" w:type="pct"/>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宋体"/>
                <w:kern w:val="0"/>
                <w:szCs w:val="21"/>
              </w:rPr>
            </w:pPr>
            <w:r>
              <w:rPr>
                <w:rFonts w:hint="eastAsia" w:ascii="Times New Roman" w:hAnsi="Times New Roman" w:eastAsia="宋体" w:cs="宋体"/>
                <w:kern w:val="0"/>
                <w:szCs w:val="21"/>
              </w:rPr>
              <w:t>20</w:t>
            </w:r>
          </w:p>
        </w:tc>
        <w:tc>
          <w:tcPr>
            <w:tcW w:w="689"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宋体"/>
                <w:color w:val="000000"/>
                <w:kern w:val="0"/>
                <w:szCs w:val="21"/>
              </w:rPr>
            </w:pPr>
            <w:r>
              <w:rPr>
                <w:rFonts w:hint="eastAsia" w:ascii="Times New Roman" w:hAnsi="Times New Roman" w:eastAsia="宋体" w:cs="宋体"/>
                <w:color w:val="000000"/>
                <w:kern w:val="0"/>
                <w:szCs w:val="21"/>
              </w:rPr>
              <w:t>59%</w:t>
            </w:r>
          </w:p>
        </w:tc>
      </w:tr>
      <w:tr>
        <w:tblPrEx>
          <w:tblCellMar>
            <w:top w:w="0" w:type="dxa"/>
            <w:left w:w="108" w:type="dxa"/>
            <w:bottom w:w="0" w:type="dxa"/>
            <w:right w:w="108" w:type="dxa"/>
          </w:tblCellMar>
        </w:tblPrEx>
        <w:trPr>
          <w:trHeight w:val="397" w:hRule="atLeast"/>
        </w:trPr>
        <w:tc>
          <w:tcPr>
            <w:tcW w:w="2142"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eastAsia="宋体" w:cs="Arial"/>
                <w:kern w:val="0"/>
                <w:szCs w:val="21"/>
              </w:rPr>
            </w:pPr>
            <w:r>
              <w:rPr>
                <w:rFonts w:hint="eastAsia" w:ascii="Times New Roman" w:hAnsi="Times New Roman" w:eastAsia="仿宋_GB2312" w:cs="方正仿宋简体"/>
                <w:szCs w:val="21"/>
              </w:rPr>
              <w:t>水生态修复体系</w:t>
            </w:r>
          </w:p>
        </w:tc>
        <w:tc>
          <w:tcPr>
            <w:tcW w:w="999" w:type="pct"/>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宋体"/>
                <w:kern w:val="0"/>
                <w:szCs w:val="21"/>
              </w:rPr>
            </w:pPr>
            <w:r>
              <w:rPr>
                <w:rFonts w:hint="eastAsia" w:ascii="Times New Roman" w:hAnsi="Times New Roman" w:eastAsia="宋体" w:cs="宋体"/>
                <w:kern w:val="0"/>
                <w:szCs w:val="21"/>
              </w:rPr>
              <w:t>1</w:t>
            </w:r>
            <w:r>
              <w:rPr>
                <w:rFonts w:ascii="Times New Roman" w:hAnsi="Times New Roman" w:eastAsia="宋体" w:cs="宋体"/>
                <w:kern w:val="0"/>
                <w:szCs w:val="21"/>
              </w:rPr>
              <w:t>1</w:t>
            </w:r>
          </w:p>
        </w:tc>
        <w:tc>
          <w:tcPr>
            <w:tcW w:w="1170" w:type="pct"/>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宋体"/>
                <w:kern w:val="0"/>
                <w:szCs w:val="21"/>
              </w:rPr>
            </w:pPr>
            <w:r>
              <w:rPr>
                <w:rFonts w:ascii="Times New Roman" w:hAnsi="Times New Roman" w:eastAsia="宋体" w:cs="宋体"/>
                <w:kern w:val="0"/>
                <w:szCs w:val="21"/>
              </w:rPr>
              <w:t>9.8</w:t>
            </w:r>
          </w:p>
        </w:tc>
        <w:tc>
          <w:tcPr>
            <w:tcW w:w="689"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宋体"/>
                <w:color w:val="000000"/>
                <w:kern w:val="0"/>
                <w:szCs w:val="21"/>
              </w:rPr>
            </w:pPr>
            <w:r>
              <w:rPr>
                <w:rFonts w:hint="eastAsia" w:ascii="Times New Roman" w:hAnsi="Times New Roman" w:eastAsia="宋体" w:cs="宋体"/>
                <w:color w:val="000000"/>
                <w:kern w:val="0"/>
                <w:szCs w:val="21"/>
              </w:rPr>
              <w:t>29%</w:t>
            </w:r>
          </w:p>
        </w:tc>
      </w:tr>
      <w:tr>
        <w:tblPrEx>
          <w:tblCellMar>
            <w:top w:w="0" w:type="dxa"/>
            <w:left w:w="108" w:type="dxa"/>
            <w:bottom w:w="0" w:type="dxa"/>
            <w:right w:w="108" w:type="dxa"/>
          </w:tblCellMar>
        </w:tblPrEx>
        <w:trPr>
          <w:trHeight w:val="397" w:hRule="atLeast"/>
        </w:trPr>
        <w:tc>
          <w:tcPr>
            <w:tcW w:w="2142"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eastAsia="宋体" w:cs="Arial"/>
                <w:kern w:val="0"/>
                <w:szCs w:val="21"/>
              </w:rPr>
            </w:pPr>
            <w:r>
              <w:rPr>
                <w:rFonts w:hint="eastAsia" w:ascii="Times New Roman" w:hAnsi="Times New Roman" w:eastAsia="仿宋_GB2312" w:cs="方正仿宋简体"/>
                <w:szCs w:val="21"/>
              </w:rPr>
              <w:t>水文化景观体系</w:t>
            </w:r>
          </w:p>
        </w:tc>
        <w:tc>
          <w:tcPr>
            <w:tcW w:w="999" w:type="pct"/>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宋体"/>
                <w:kern w:val="0"/>
                <w:szCs w:val="21"/>
              </w:rPr>
            </w:pPr>
            <w:r>
              <w:rPr>
                <w:rFonts w:hint="eastAsia" w:ascii="Times New Roman" w:hAnsi="Times New Roman" w:eastAsia="宋体" w:cs="宋体"/>
                <w:kern w:val="0"/>
                <w:szCs w:val="21"/>
              </w:rPr>
              <w:t>6</w:t>
            </w:r>
          </w:p>
        </w:tc>
        <w:tc>
          <w:tcPr>
            <w:tcW w:w="1170" w:type="pct"/>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宋体"/>
                <w:kern w:val="0"/>
                <w:szCs w:val="21"/>
              </w:rPr>
            </w:pPr>
            <w:r>
              <w:rPr>
                <w:rFonts w:hint="eastAsia" w:ascii="Times New Roman" w:hAnsi="Times New Roman" w:eastAsia="宋体" w:cs="宋体"/>
                <w:kern w:val="0"/>
                <w:szCs w:val="21"/>
              </w:rPr>
              <w:t>2.6</w:t>
            </w:r>
          </w:p>
        </w:tc>
        <w:tc>
          <w:tcPr>
            <w:tcW w:w="689"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宋体"/>
                <w:color w:val="000000"/>
                <w:kern w:val="0"/>
                <w:szCs w:val="21"/>
              </w:rPr>
            </w:pPr>
            <w:r>
              <w:rPr>
                <w:rFonts w:ascii="Times New Roman" w:hAnsi="Times New Roman" w:eastAsia="宋体" w:cs="宋体"/>
                <w:color w:val="000000"/>
                <w:kern w:val="0"/>
                <w:szCs w:val="21"/>
              </w:rPr>
              <w:t>8</w:t>
            </w:r>
            <w:r>
              <w:rPr>
                <w:rFonts w:hint="eastAsia" w:ascii="Times New Roman" w:hAnsi="Times New Roman" w:eastAsia="宋体" w:cs="宋体"/>
                <w:color w:val="000000"/>
                <w:kern w:val="0"/>
                <w:szCs w:val="21"/>
              </w:rPr>
              <w:t>%</w:t>
            </w:r>
          </w:p>
        </w:tc>
      </w:tr>
      <w:tr>
        <w:tblPrEx>
          <w:tblCellMar>
            <w:top w:w="0" w:type="dxa"/>
            <w:left w:w="108" w:type="dxa"/>
            <w:bottom w:w="0" w:type="dxa"/>
            <w:right w:w="108" w:type="dxa"/>
          </w:tblCellMar>
        </w:tblPrEx>
        <w:trPr>
          <w:trHeight w:val="397" w:hRule="atLeast"/>
        </w:trPr>
        <w:tc>
          <w:tcPr>
            <w:tcW w:w="2142"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eastAsia="宋体" w:cs="宋体"/>
                <w:kern w:val="0"/>
                <w:szCs w:val="21"/>
              </w:rPr>
            </w:pPr>
            <w:r>
              <w:rPr>
                <w:rFonts w:hint="eastAsia" w:ascii="Times New Roman" w:hAnsi="Times New Roman" w:eastAsia="仿宋_GB2312" w:cs="方正仿宋简体"/>
                <w:szCs w:val="21"/>
              </w:rPr>
              <w:t>水利综合管理</w:t>
            </w:r>
          </w:p>
        </w:tc>
        <w:tc>
          <w:tcPr>
            <w:tcW w:w="999" w:type="pct"/>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宋体"/>
                <w:kern w:val="0"/>
                <w:szCs w:val="21"/>
              </w:rPr>
            </w:pPr>
            <w:r>
              <w:rPr>
                <w:rFonts w:hint="eastAsia" w:ascii="Times New Roman" w:hAnsi="Times New Roman" w:eastAsia="宋体" w:cs="宋体"/>
                <w:kern w:val="0"/>
                <w:szCs w:val="21"/>
              </w:rPr>
              <w:t>2</w:t>
            </w:r>
          </w:p>
        </w:tc>
        <w:tc>
          <w:tcPr>
            <w:tcW w:w="1170" w:type="pct"/>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宋体"/>
                <w:kern w:val="0"/>
                <w:szCs w:val="21"/>
              </w:rPr>
            </w:pPr>
            <w:r>
              <w:rPr>
                <w:rFonts w:hint="eastAsia" w:ascii="Times New Roman" w:hAnsi="Times New Roman" w:eastAsia="宋体" w:cs="宋体"/>
                <w:kern w:val="0"/>
                <w:szCs w:val="21"/>
              </w:rPr>
              <w:t>1.2</w:t>
            </w:r>
          </w:p>
        </w:tc>
        <w:tc>
          <w:tcPr>
            <w:tcW w:w="689"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宋体"/>
                <w:color w:val="000000"/>
                <w:kern w:val="0"/>
                <w:szCs w:val="21"/>
              </w:rPr>
            </w:pPr>
            <w:r>
              <w:rPr>
                <w:rFonts w:hint="eastAsia" w:ascii="Times New Roman" w:hAnsi="Times New Roman" w:eastAsia="宋体" w:cs="宋体"/>
                <w:color w:val="000000"/>
                <w:kern w:val="0"/>
                <w:szCs w:val="21"/>
              </w:rPr>
              <w:t>4%</w:t>
            </w:r>
          </w:p>
        </w:tc>
      </w:tr>
      <w:tr>
        <w:tblPrEx>
          <w:tblCellMar>
            <w:top w:w="0" w:type="dxa"/>
            <w:left w:w="108" w:type="dxa"/>
            <w:bottom w:w="0" w:type="dxa"/>
            <w:right w:w="108" w:type="dxa"/>
          </w:tblCellMar>
        </w:tblPrEx>
        <w:trPr>
          <w:trHeight w:val="397" w:hRule="atLeast"/>
        </w:trPr>
        <w:tc>
          <w:tcPr>
            <w:tcW w:w="2142"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eastAsia="宋体" w:cs="Arial"/>
                <w:kern w:val="0"/>
                <w:szCs w:val="21"/>
              </w:rPr>
            </w:pPr>
            <w:r>
              <w:rPr>
                <w:rFonts w:hint="eastAsia" w:ascii="Times New Roman" w:hAnsi="Times New Roman" w:eastAsia="仿宋_GB2312" w:cs="方正仿宋简体"/>
                <w:szCs w:val="21"/>
              </w:rPr>
              <w:t>合计</w:t>
            </w:r>
          </w:p>
        </w:tc>
        <w:tc>
          <w:tcPr>
            <w:tcW w:w="999" w:type="pct"/>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宋体"/>
                <w:kern w:val="0"/>
                <w:szCs w:val="21"/>
              </w:rPr>
            </w:pPr>
            <w:r>
              <w:rPr>
                <w:rFonts w:hint="eastAsia" w:ascii="Times New Roman" w:hAnsi="Times New Roman" w:eastAsia="宋体" w:cs="宋体"/>
                <w:kern w:val="0"/>
                <w:szCs w:val="21"/>
              </w:rPr>
              <w:t>33</w:t>
            </w:r>
          </w:p>
        </w:tc>
        <w:tc>
          <w:tcPr>
            <w:tcW w:w="1170" w:type="pct"/>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宋体"/>
                <w:kern w:val="0"/>
                <w:szCs w:val="21"/>
              </w:rPr>
            </w:pPr>
            <w:r>
              <w:rPr>
                <w:rFonts w:ascii="Times New Roman" w:hAnsi="Times New Roman" w:eastAsia="宋体" w:cs="宋体"/>
                <w:kern w:val="0"/>
                <w:szCs w:val="21"/>
              </w:rPr>
              <w:t>33.</w:t>
            </w:r>
            <w:r>
              <w:rPr>
                <w:rFonts w:hint="eastAsia" w:ascii="Times New Roman" w:hAnsi="Times New Roman" w:eastAsia="宋体" w:cs="宋体"/>
                <w:kern w:val="0"/>
                <w:szCs w:val="21"/>
              </w:rPr>
              <w:t>7</w:t>
            </w:r>
          </w:p>
        </w:tc>
        <w:tc>
          <w:tcPr>
            <w:tcW w:w="689"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宋体"/>
                <w:color w:val="000000"/>
                <w:kern w:val="0"/>
                <w:szCs w:val="21"/>
              </w:rPr>
            </w:pPr>
            <w:r>
              <w:rPr>
                <w:rFonts w:hint="eastAsia" w:ascii="Times New Roman" w:hAnsi="Times New Roman" w:eastAsia="宋体" w:cs="宋体"/>
                <w:color w:val="000000"/>
                <w:kern w:val="0"/>
                <w:szCs w:val="21"/>
              </w:rPr>
              <w:t>100%</w:t>
            </w:r>
          </w:p>
        </w:tc>
      </w:tr>
    </w:tbl>
    <w:p>
      <w:pPr>
        <w:pStyle w:val="3"/>
        <w:spacing w:before="312" w:beforeLines="100" w:after="312" w:afterLines="100" w:line="580" w:lineRule="exact"/>
        <w:jc w:val="center"/>
        <w:rPr>
          <w:rFonts w:ascii="Times New Roman" w:hAnsi="Times New Roman" w:cstheme="minorBidi"/>
          <w:b w:val="0"/>
          <w:bCs w:val="0"/>
          <w:szCs w:val="24"/>
        </w:rPr>
      </w:pPr>
      <w:bookmarkStart w:id="27" w:name="_Toc27433"/>
      <w:r>
        <w:rPr>
          <w:rFonts w:hint="eastAsia" w:ascii="Times New Roman" w:hAnsi="Times New Roman" w:cstheme="minorBidi"/>
          <w:b w:val="0"/>
          <w:bCs w:val="0"/>
          <w:szCs w:val="24"/>
        </w:rPr>
        <w:t>第二节 资金筹措</w:t>
      </w:r>
      <w:bookmarkEnd w:id="27"/>
    </w:p>
    <w:p>
      <w:pPr>
        <w:spacing w:line="58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根据现行水利投资政策、投资水平和投资渠道，“十四五”期间，我区水利建设投资主要以区级财政投资和融资为主，以上级部门资助及镇、村自筹为辅。</w:t>
      </w:r>
    </w:p>
    <w:p>
      <w:pPr>
        <w:pStyle w:val="3"/>
        <w:spacing w:before="312" w:beforeLines="100" w:after="312" w:afterLines="100" w:line="580" w:lineRule="exact"/>
        <w:jc w:val="center"/>
        <w:rPr>
          <w:rFonts w:ascii="Times New Roman" w:hAnsi="Times New Roman" w:cstheme="minorBidi"/>
          <w:b w:val="0"/>
          <w:bCs w:val="0"/>
          <w:szCs w:val="24"/>
        </w:rPr>
      </w:pPr>
      <w:bookmarkStart w:id="28" w:name="_Toc24439"/>
      <w:r>
        <w:rPr>
          <w:rFonts w:hint="eastAsia" w:ascii="Times New Roman" w:hAnsi="Times New Roman" w:cstheme="minorBidi"/>
          <w:b w:val="0"/>
          <w:bCs w:val="0"/>
          <w:szCs w:val="24"/>
        </w:rPr>
        <w:t>第三节 用地需求</w:t>
      </w:r>
      <w:bookmarkEnd w:id="28"/>
    </w:p>
    <w:p>
      <w:pPr>
        <w:spacing w:line="58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经初步测算，全区“十四五”水利重点工程总用地872亩（折合58.1公顷）。</w:t>
      </w:r>
    </w:p>
    <w:p>
      <w:pPr>
        <w:spacing w:line="580" w:lineRule="exact"/>
        <w:ind w:firstLine="640" w:firstLineChars="200"/>
        <w:rPr>
          <w:rFonts w:ascii="Times New Roman" w:hAnsi="Times New Roman" w:eastAsia="仿宋_GB2312" w:cs="仿宋_GB2312"/>
          <w:sz w:val="32"/>
          <w:szCs w:val="32"/>
        </w:rPr>
        <w:sectPr>
          <w:headerReference r:id="rId12" w:type="default"/>
          <w:pgSz w:w="11907" w:h="16839"/>
          <w:pgMar w:top="1440" w:right="1800" w:bottom="1440" w:left="1800" w:header="851" w:footer="992" w:gutter="0"/>
          <w:pgNumType w:fmt="numberInDash"/>
          <w:cols w:space="425" w:num="1"/>
          <w:docGrid w:type="lines" w:linePitch="312" w:charSpace="0"/>
        </w:sectPr>
      </w:pPr>
    </w:p>
    <w:p>
      <w:pPr>
        <w:keepNext/>
        <w:keepLines/>
        <w:spacing w:before="312" w:beforeLines="100" w:after="312" w:afterLines="100" w:line="540" w:lineRule="exact"/>
        <w:jc w:val="center"/>
        <w:outlineLvl w:val="0"/>
        <w:rPr>
          <w:rFonts w:ascii="Times New Roman" w:hAnsi="Times New Roman" w:eastAsia="黑体" w:cs="Times New Roman"/>
          <w:bCs/>
          <w:kern w:val="44"/>
          <w:sz w:val="36"/>
          <w:szCs w:val="36"/>
        </w:rPr>
      </w:pPr>
      <w:bookmarkStart w:id="29" w:name="_Toc13233"/>
      <w:r>
        <w:rPr>
          <w:rFonts w:hint="eastAsia" w:ascii="Times New Roman" w:hAnsi="Times New Roman" w:eastAsia="黑体" w:cs="Times New Roman"/>
          <w:bCs/>
          <w:kern w:val="44"/>
          <w:sz w:val="36"/>
          <w:szCs w:val="36"/>
        </w:rPr>
        <w:t>第六章  组织</w:t>
      </w:r>
      <w:r>
        <w:rPr>
          <w:rFonts w:ascii="Times New Roman" w:hAnsi="Times New Roman" w:eastAsia="黑体" w:cs="Times New Roman"/>
          <w:bCs/>
          <w:kern w:val="44"/>
          <w:sz w:val="36"/>
          <w:szCs w:val="36"/>
        </w:rPr>
        <w:t>保障</w:t>
      </w:r>
      <w:bookmarkEnd w:id="29"/>
    </w:p>
    <w:p>
      <w:pPr>
        <w:spacing w:before="156" w:beforeLines="50" w:after="156" w:afterLines="50" w:line="580" w:lineRule="exact"/>
        <w:outlineLvl w:val="2"/>
        <w:rPr>
          <w:rFonts w:ascii="Times New Roman" w:hAnsi="Times New Roman" w:eastAsia="仿宋_GB2312" w:cs="仿宋_GB2312"/>
          <w:b/>
          <w:sz w:val="32"/>
          <w:szCs w:val="32"/>
        </w:rPr>
      </w:pPr>
      <w:r>
        <w:rPr>
          <w:rFonts w:hint="eastAsia" w:ascii="Times New Roman" w:hAnsi="Times New Roman" w:eastAsia="仿宋_GB2312" w:cs="仿宋_GB2312"/>
          <w:b/>
          <w:sz w:val="32"/>
          <w:szCs w:val="32"/>
        </w:rPr>
        <w:t>一、加强组织落实</w:t>
      </w:r>
    </w:p>
    <w:p>
      <w:pPr>
        <w:spacing w:line="58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十四五”期间水利改革难度大，建设任务重，管理要求更高。要强化各级地方政府的水利工作责任，加强组织领导，加强部门协调配合。要逐级明确责任与分工，细化各项水利改革发展的工作计划，明确工作的时间表、路线图和阶段性目标，精心组织，勇于创新，严格考核，确保规划任务的顺利实施。</w:t>
      </w:r>
    </w:p>
    <w:p>
      <w:pPr>
        <w:spacing w:before="156" w:beforeLines="50" w:after="156" w:afterLines="50" w:line="580" w:lineRule="exact"/>
        <w:outlineLvl w:val="2"/>
        <w:rPr>
          <w:rFonts w:ascii="Times New Roman" w:hAnsi="Times New Roman" w:eastAsia="仿宋_GB2312" w:cs="仿宋_GB2312"/>
          <w:b/>
          <w:sz w:val="32"/>
          <w:szCs w:val="32"/>
        </w:rPr>
      </w:pPr>
      <w:r>
        <w:rPr>
          <w:rFonts w:hint="eastAsia" w:ascii="Times New Roman" w:hAnsi="Times New Roman" w:eastAsia="仿宋_GB2312" w:cs="仿宋_GB2312"/>
          <w:b/>
          <w:sz w:val="32"/>
          <w:szCs w:val="32"/>
        </w:rPr>
        <w:t>二、强化要素保障</w:t>
      </w:r>
    </w:p>
    <w:p>
      <w:pPr>
        <w:spacing w:line="58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各级政府应优先保障水利建设和管理所需的资金和土地等要素。将规划十四五重点工程用地纳入国土空间规划中，保障土地要素；要建立健全稳定的以公共财政为主渠道的水利投融资机制，把水利作为支持重点纳入财政预算中期规划，鼓励金融机构水利信贷投入和吸引社会资本参与水利建设。各级政府要积极协调好国土、规划等相关部门，为保证水利建设用地创造条件。</w:t>
      </w:r>
    </w:p>
    <w:p>
      <w:pPr>
        <w:spacing w:before="156" w:beforeLines="50" w:after="156" w:afterLines="50" w:line="580" w:lineRule="exact"/>
        <w:outlineLvl w:val="2"/>
        <w:rPr>
          <w:rFonts w:ascii="Times New Roman" w:hAnsi="Times New Roman" w:eastAsia="仿宋_GB2312" w:cs="仿宋_GB2312"/>
          <w:b/>
          <w:sz w:val="32"/>
          <w:szCs w:val="32"/>
        </w:rPr>
      </w:pPr>
      <w:r>
        <w:rPr>
          <w:rFonts w:hint="eastAsia" w:ascii="Times New Roman" w:hAnsi="Times New Roman" w:eastAsia="仿宋_GB2312" w:cs="仿宋_GB2312"/>
          <w:b/>
          <w:sz w:val="32"/>
          <w:szCs w:val="32"/>
        </w:rPr>
        <w:t>三、密切部门协作</w:t>
      </w:r>
    </w:p>
    <w:p>
      <w:pPr>
        <w:spacing w:line="58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要建立和完善多部门协作工作机制，各相关部门在各级政府的统一领导下，按照职能分工，各司其职、密切配合，尽快制定完善各项配套政策和措施，共同推进水利改革和发展。各级水行政主管部门要强化责任意识，充分发挥牵头作用，切实做好水利改革发展各项任务的实施。</w:t>
      </w:r>
    </w:p>
    <w:p>
      <w:pPr>
        <w:spacing w:before="156" w:beforeLines="50" w:after="156" w:afterLines="50" w:line="580" w:lineRule="exact"/>
        <w:outlineLvl w:val="2"/>
        <w:rPr>
          <w:rFonts w:ascii="Times New Roman" w:hAnsi="Times New Roman" w:eastAsia="仿宋_GB2312" w:cs="仿宋_GB2312"/>
          <w:b/>
          <w:sz w:val="32"/>
          <w:szCs w:val="32"/>
        </w:rPr>
      </w:pPr>
      <w:r>
        <w:rPr>
          <w:rFonts w:hint="eastAsia" w:ascii="Times New Roman" w:hAnsi="Times New Roman" w:eastAsia="仿宋_GB2312" w:cs="仿宋_GB2312"/>
          <w:b/>
          <w:sz w:val="32"/>
          <w:szCs w:val="32"/>
        </w:rPr>
        <w:t>四、鼓励公众参与</w:t>
      </w:r>
    </w:p>
    <w:p>
      <w:pPr>
        <w:spacing w:line="58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加大宣传力度，提高全民的水患意识、节水意识、水资源保护意识，动员社会力量参与水利建设。政府有关部门要认真执行有关水利政策法规、项目审批等政务公告制度，建立信息发布制度，健全政府部门主导、社会各方有序参与决策的途径和方式，调动广大群众参与水利建设和管理的积极性。充分利用电视、广播、报纸和网络等新闻媒介，发挥舆论监督和导向作用，增强企业社会责任，形成全社会共同推动水利改革发展的良好社会氛围。</w:t>
      </w:r>
    </w:p>
    <w:sectPr>
      <w:headerReference r:id="rId13" w:type="default"/>
      <w:footerReference r:id="rId14"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楷体">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方正黑体简体">
    <w:altName w:val="微软雅黑"/>
    <w:panose1 w:val="00000000000000000000"/>
    <w:charset w:val="86"/>
    <w:family w:val="auto"/>
    <w:pitch w:val="default"/>
    <w:sig w:usb0="00000000" w:usb1="00000000" w:usb2="00000012" w:usb3="00000000" w:csb0="00040001" w:csb1="00000000"/>
  </w:font>
  <w:font w:name="方正仿宋简体">
    <w:altName w:val="微软雅黑"/>
    <w:panose1 w:val="00000000000000000000"/>
    <w:charset w:val="00"/>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rPr>
        <w:rFonts w:ascii="Times New Roman" w:hAnsi="Times New Roman" w:cs="Times New Roman"/>
        <w:sz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58584921"/>
      <w:docPartObj>
        <w:docPartGallery w:val="AutoText"/>
      </w:docPartObj>
    </w:sdtPr>
    <w:sdtEndPr>
      <w:rPr>
        <w:rFonts w:ascii="Times New Roman" w:hAnsi="Times New Roman" w:cs="Times New Roman"/>
        <w:sz w:val="21"/>
      </w:rPr>
    </w:sdtEndPr>
    <w:sdtContent>
      <w:p>
        <w:pPr>
          <w:pStyle w:val="12"/>
          <w:jc w:val="center"/>
          <w:rPr>
            <w:rFonts w:ascii="Times New Roman" w:hAnsi="Times New Roman" w:cs="Times New Roman"/>
            <w:sz w:val="21"/>
          </w:rPr>
        </w:pPr>
        <w:r>
          <w:rPr>
            <w:rFonts w:ascii="Times New Roman" w:hAnsi="Times New Roman" w:cs="Times New Roman"/>
            <w:sz w:val="21"/>
          </w:rPr>
          <w:fldChar w:fldCharType="begin"/>
        </w:r>
        <w:r>
          <w:rPr>
            <w:rFonts w:ascii="Times New Roman" w:hAnsi="Times New Roman" w:cs="Times New Roman"/>
            <w:sz w:val="21"/>
          </w:rPr>
          <w:instrText xml:space="preserve">PAGE   \* MERGEFORMAT</w:instrText>
        </w:r>
        <w:r>
          <w:rPr>
            <w:rFonts w:ascii="Times New Roman" w:hAnsi="Times New Roman" w:cs="Times New Roman"/>
            <w:sz w:val="21"/>
          </w:rPr>
          <w:fldChar w:fldCharType="separate"/>
        </w:r>
        <w:r>
          <w:rPr>
            <w:rFonts w:ascii="Times New Roman" w:hAnsi="Times New Roman" w:cs="Times New Roman"/>
            <w:sz w:val="21"/>
            <w:lang w:val="zh-CN"/>
          </w:rPr>
          <w:t>-</w:t>
        </w:r>
        <w:r>
          <w:rPr>
            <w:rFonts w:ascii="Times New Roman" w:hAnsi="Times New Roman" w:cs="Times New Roman"/>
            <w:sz w:val="21"/>
          </w:rPr>
          <w:t xml:space="preserve"> 31 -</w:t>
        </w:r>
        <w:r>
          <w:rPr>
            <w:rFonts w:ascii="Times New Roman" w:hAnsi="Times New Roman" w:cs="Times New Roman"/>
            <w:sz w:val="21"/>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single" w:color="auto" w:sz="4" w:space="1"/>
      </w:pBdr>
      <w:tabs>
        <w:tab w:val="center" w:pos="4153"/>
        <w:tab w:val="right" w:pos="8306"/>
      </w:tabs>
      <w:snapToGrid w:val="0"/>
      <w:jc w:val="left"/>
      <w:rPr>
        <w:lang w:val="zh-CN"/>
      </w:rPr>
    </w:pPr>
    <w:r>
      <w:rPr>
        <w:rFonts w:ascii="Times New Roman" w:hAnsi="Times New Roman" w:eastAsia="宋体" w:cs="Times New Roman"/>
        <w:kern w:val="0"/>
        <w:sz w:val="18"/>
        <w:szCs w:val="18"/>
        <w:lang w:val="zh-CN"/>
      </w:rPr>
      <w:t xml:space="preserve">        </w:t>
    </w:r>
    <w:r>
      <w:rPr>
        <w:rFonts w:hint="eastAsia" w:ascii="Times New Roman" w:hAnsi="Times New Roman" w:eastAsia="宋体" w:cs="Times New Roman"/>
        <w:kern w:val="0"/>
        <w:sz w:val="18"/>
        <w:szCs w:val="18"/>
        <w:lang w:val="zh-CN"/>
      </w:rPr>
      <w:t xml:space="preserve">                                   </w:t>
    </w:r>
    <w:r>
      <w:rPr>
        <w:rFonts w:ascii="Times New Roman" w:hAnsi="Times New Roman" w:eastAsia="宋体" w:cs="Times New Roman"/>
        <w:kern w:val="0"/>
        <w:sz w:val="18"/>
        <w:szCs w:val="18"/>
        <w:lang w:val="zh-CN"/>
      </w:rPr>
      <w:t xml:space="preserve">  </w:t>
    </w:r>
    <w:r>
      <w:rPr>
        <w:rFonts w:ascii="Times New Roman" w:hAnsi="Times New Roman" w:eastAsia="宋体" w:cs="Times New Roman"/>
        <w:kern w:val="0"/>
        <w:sz w:val="18"/>
        <w:szCs w:val="18"/>
        <w:lang w:val="zh-CN"/>
      </w:rPr>
      <w:fldChar w:fldCharType="begin"/>
    </w:r>
    <w:r>
      <w:rPr>
        <w:rFonts w:ascii="Times New Roman" w:hAnsi="Times New Roman" w:eastAsia="宋体" w:cs="Times New Roman"/>
        <w:kern w:val="0"/>
        <w:sz w:val="18"/>
        <w:szCs w:val="18"/>
        <w:lang w:val="zh-CN"/>
      </w:rPr>
      <w:instrText xml:space="preserve">PAGE   \* MERGEFORMAT</w:instrText>
    </w:r>
    <w:r>
      <w:rPr>
        <w:rFonts w:ascii="Times New Roman" w:hAnsi="Times New Roman" w:eastAsia="宋体" w:cs="Times New Roman"/>
        <w:kern w:val="0"/>
        <w:sz w:val="18"/>
        <w:szCs w:val="18"/>
        <w:lang w:val="zh-CN"/>
      </w:rPr>
      <w:fldChar w:fldCharType="separate"/>
    </w:r>
    <w:r>
      <w:rPr>
        <w:rFonts w:ascii="Times New Roman" w:hAnsi="Times New Roman" w:eastAsia="宋体" w:cs="Times New Roman"/>
        <w:kern w:val="0"/>
        <w:sz w:val="18"/>
        <w:szCs w:val="18"/>
        <w:lang w:val="zh-CN"/>
      </w:rPr>
      <w:t>- 32 -</w:t>
    </w:r>
    <w:r>
      <w:rPr>
        <w:rFonts w:ascii="Times New Roman" w:hAnsi="Times New Roman" w:eastAsia="宋体" w:cs="Times New Roman"/>
        <w:kern w:val="0"/>
        <w:sz w:val="18"/>
        <w:szCs w:val="18"/>
        <w:lang w:val="zh-CN"/>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ind w:firstLine="360"/>
      <w:rPr>
        <w:rFonts w:ascii="Calibri" w:hAnsi="Calibri" w:eastAsia="宋体" w:cs="Times New Roman"/>
        <w:kern w:val="0"/>
        <w:lang w:val="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rPr>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left"/>
    </w:pPr>
    <w:r>
      <w:rPr>
        <w:rFonts w:hint="eastAsia"/>
      </w:rPr>
      <w:t xml:space="preserve">江北区水安全保障“十四五”规划 </w:t>
    </w:r>
    <w:r>
      <w:t xml:space="preserve">    </w:t>
    </w:r>
    <w:r>
      <w:rPr>
        <w:rFonts w:hint="eastAsia"/>
      </w:rPr>
      <w:t xml:space="preserve">                </w:t>
    </w:r>
    <w:r>
      <w:t xml:space="preserve">                   </w:t>
    </w:r>
    <w:r>
      <w:rPr>
        <w:rFonts w:hint="eastAsia"/>
      </w:rPr>
      <w:t>“十四五”水利发展背景</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left"/>
    </w:pPr>
    <w:r>
      <w:rPr>
        <w:rFonts w:hint="eastAsia"/>
      </w:rPr>
      <w:t xml:space="preserve">江北区水安全保障“十四五”规划 </w:t>
    </w:r>
    <w:r>
      <w:t xml:space="preserve">   </w:t>
    </w:r>
    <w:r>
      <w:rPr>
        <w:rFonts w:hint="eastAsia"/>
      </w:rPr>
      <w:t xml:space="preserve">                                </w:t>
    </w:r>
    <w:r>
      <w:t xml:space="preserve">                   </w:t>
    </w:r>
    <w:r>
      <w:rPr>
        <w:rFonts w:hint="eastAsia"/>
      </w:rPr>
      <w:t>规划总则</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left"/>
    </w:pPr>
    <w:r>
      <w:rPr>
        <w:rFonts w:hint="eastAsia"/>
      </w:rPr>
      <w:t xml:space="preserve">江北区水安全保障“十四五”规划 </w:t>
    </w:r>
    <w:r>
      <w:t xml:space="preserve">   </w:t>
    </w:r>
    <w:r>
      <w:rPr>
        <w:rFonts w:hint="eastAsia"/>
      </w:rPr>
      <w:t xml:space="preserve">                                </w:t>
    </w:r>
    <w:r>
      <w:t xml:space="preserve">         </w:t>
    </w:r>
    <w:r>
      <w:rPr>
        <w:rFonts w:hint="eastAsia"/>
      </w:rPr>
      <w:t>总体布局和重点工程</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left"/>
    </w:pPr>
    <w:r>
      <w:rPr>
        <w:rFonts w:hint="eastAsia"/>
      </w:rPr>
      <w:t xml:space="preserve">江北区水安全保障“十四五”规划 </w:t>
    </w:r>
    <w:r>
      <w:t xml:space="preserve">   </w:t>
    </w:r>
    <w:r>
      <w:rPr>
        <w:rFonts w:hint="eastAsia"/>
      </w:rPr>
      <w:t xml:space="preserve">               </w:t>
    </w:r>
    <w:r>
      <w:t xml:space="preserve">             </w:t>
    </w:r>
    <w:r>
      <w:rPr>
        <w:rFonts w:hint="eastAsia"/>
      </w:rPr>
      <w:t xml:space="preserve">        </w:t>
    </w:r>
    <w:r>
      <w:t xml:space="preserve">       </w:t>
    </w:r>
    <w:r>
      <w:rPr>
        <w:rFonts w:hint="eastAsia"/>
      </w:rPr>
      <w:t>管理建设主要任务</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left"/>
    </w:pPr>
    <w:r>
      <w:rPr>
        <w:rFonts w:hint="eastAsia"/>
      </w:rPr>
      <w:t xml:space="preserve">江北区水安全保障“十四五”规划 </w:t>
    </w:r>
    <w:r>
      <w:t xml:space="preserve">                              </w:t>
    </w:r>
    <w:r>
      <w:rPr>
        <w:rFonts w:hint="eastAsia"/>
      </w:rPr>
      <w:t xml:space="preserve">               </w:t>
    </w:r>
    <w:r>
      <w:t xml:space="preserve">  </w:t>
    </w:r>
    <w:r>
      <w:rPr>
        <w:rFonts w:hint="eastAsia"/>
      </w:rPr>
      <w:t>投资及用地需求</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left"/>
    </w:pPr>
    <w:r>
      <w:rPr>
        <w:rFonts w:hint="eastAsia"/>
      </w:rPr>
      <w:t xml:space="preserve">江北区水安全保障“十四五”规划 </w:t>
    </w:r>
    <w:r>
      <w:t xml:space="preserve">       </w:t>
    </w:r>
    <w:r>
      <w:rPr>
        <w:rFonts w:hint="eastAsia"/>
      </w:rPr>
      <w:t xml:space="preserve">                     </w:t>
    </w:r>
    <w:r>
      <w:t xml:space="preserve">                  </w:t>
    </w:r>
    <w:r>
      <w:rPr>
        <w:rFonts w:hint="eastAsia"/>
      </w:rPr>
      <w:t xml:space="preserve">       组织</w:t>
    </w:r>
    <w:r>
      <w:t>保障</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BAB60F4"/>
    <w:multiLevelType w:val="multilevel"/>
    <w:tmpl w:val="3BAB60F4"/>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2AE"/>
    <w:rsid w:val="000006B3"/>
    <w:rsid w:val="00000BA5"/>
    <w:rsid w:val="00001086"/>
    <w:rsid w:val="0000154E"/>
    <w:rsid w:val="00001B6B"/>
    <w:rsid w:val="000020FC"/>
    <w:rsid w:val="000030FA"/>
    <w:rsid w:val="00003141"/>
    <w:rsid w:val="00003605"/>
    <w:rsid w:val="00003670"/>
    <w:rsid w:val="00003CDC"/>
    <w:rsid w:val="00003DDA"/>
    <w:rsid w:val="00004672"/>
    <w:rsid w:val="000058FE"/>
    <w:rsid w:val="00005BAC"/>
    <w:rsid w:val="00007D34"/>
    <w:rsid w:val="000113F6"/>
    <w:rsid w:val="00013F64"/>
    <w:rsid w:val="0001411F"/>
    <w:rsid w:val="00016CD6"/>
    <w:rsid w:val="000170ED"/>
    <w:rsid w:val="00017A21"/>
    <w:rsid w:val="000200FD"/>
    <w:rsid w:val="00020E52"/>
    <w:rsid w:val="00021302"/>
    <w:rsid w:val="00022474"/>
    <w:rsid w:val="00022569"/>
    <w:rsid w:val="00022BD2"/>
    <w:rsid w:val="00022F59"/>
    <w:rsid w:val="000239C0"/>
    <w:rsid w:val="000244BE"/>
    <w:rsid w:val="000245FF"/>
    <w:rsid w:val="00024F05"/>
    <w:rsid w:val="0002573B"/>
    <w:rsid w:val="0002602C"/>
    <w:rsid w:val="00026890"/>
    <w:rsid w:val="0002742B"/>
    <w:rsid w:val="00032A56"/>
    <w:rsid w:val="000330B4"/>
    <w:rsid w:val="00033CC0"/>
    <w:rsid w:val="000345B0"/>
    <w:rsid w:val="00034D30"/>
    <w:rsid w:val="00034DD6"/>
    <w:rsid w:val="00035FC7"/>
    <w:rsid w:val="00036E3F"/>
    <w:rsid w:val="00036EC8"/>
    <w:rsid w:val="00037CE6"/>
    <w:rsid w:val="00037E7B"/>
    <w:rsid w:val="00040B30"/>
    <w:rsid w:val="000411F3"/>
    <w:rsid w:val="00041B45"/>
    <w:rsid w:val="00042125"/>
    <w:rsid w:val="00044A2A"/>
    <w:rsid w:val="000451A5"/>
    <w:rsid w:val="000475FB"/>
    <w:rsid w:val="00050329"/>
    <w:rsid w:val="00051187"/>
    <w:rsid w:val="00052771"/>
    <w:rsid w:val="000554B2"/>
    <w:rsid w:val="0005613A"/>
    <w:rsid w:val="00056698"/>
    <w:rsid w:val="00057809"/>
    <w:rsid w:val="00060108"/>
    <w:rsid w:val="00060192"/>
    <w:rsid w:val="000601B5"/>
    <w:rsid w:val="000606B4"/>
    <w:rsid w:val="000613F3"/>
    <w:rsid w:val="000619E8"/>
    <w:rsid w:val="00061CDB"/>
    <w:rsid w:val="00063D94"/>
    <w:rsid w:val="0006431F"/>
    <w:rsid w:val="00064895"/>
    <w:rsid w:val="00065334"/>
    <w:rsid w:val="00066DB9"/>
    <w:rsid w:val="0006757C"/>
    <w:rsid w:val="00067C5D"/>
    <w:rsid w:val="000708A1"/>
    <w:rsid w:val="0007183A"/>
    <w:rsid w:val="00071AA5"/>
    <w:rsid w:val="00072812"/>
    <w:rsid w:val="00072D9E"/>
    <w:rsid w:val="00073375"/>
    <w:rsid w:val="00073F14"/>
    <w:rsid w:val="00073F2F"/>
    <w:rsid w:val="00075C5D"/>
    <w:rsid w:val="00075D69"/>
    <w:rsid w:val="00077395"/>
    <w:rsid w:val="00077B27"/>
    <w:rsid w:val="00077BC1"/>
    <w:rsid w:val="0008078E"/>
    <w:rsid w:val="00081585"/>
    <w:rsid w:val="000827B3"/>
    <w:rsid w:val="0008308B"/>
    <w:rsid w:val="00084B9B"/>
    <w:rsid w:val="00084F5F"/>
    <w:rsid w:val="0008537D"/>
    <w:rsid w:val="000854E4"/>
    <w:rsid w:val="000856CB"/>
    <w:rsid w:val="00087C28"/>
    <w:rsid w:val="00090119"/>
    <w:rsid w:val="000904A7"/>
    <w:rsid w:val="00090EE4"/>
    <w:rsid w:val="000911B9"/>
    <w:rsid w:val="0009168D"/>
    <w:rsid w:val="00092E84"/>
    <w:rsid w:val="00093135"/>
    <w:rsid w:val="00095E7D"/>
    <w:rsid w:val="00096E05"/>
    <w:rsid w:val="000976DA"/>
    <w:rsid w:val="000A07D6"/>
    <w:rsid w:val="000A0C96"/>
    <w:rsid w:val="000A1286"/>
    <w:rsid w:val="000A16BE"/>
    <w:rsid w:val="000A3106"/>
    <w:rsid w:val="000A39E4"/>
    <w:rsid w:val="000A4F14"/>
    <w:rsid w:val="000A69CE"/>
    <w:rsid w:val="000A7373"/>
    <w:rsid w:val="000B0A19"/>
    <w:rsid w:val="000B1AF3"/>
    <w:rsid w:val="000B1E10"/>
    <w:rsid w:val="000B3C5C"/>
    <w:rsid w:val="000B3D2B"/>
    <w:rsid w:val="000B3EF2"/>
    <w:rsid w:val="000B5032"/>
    <w:rsid w:val="000B5EE2"/>
    <w:rsid w:val="000B72C2"/>
    <w:rsid w:val="000C1DD0"/>
    <w:rsid w:val="000C3AC1"/>
    <w:rsid w:val="000C575D"/>
    <w:rsid w:val="000C68A5"/>
    <w:rsid w:val="000C6D8C"/>
    <w:rsid w:val="000C77E8"/>
    <w:rsid w:val="000D0F8F"/>
    <w:rsid w:val="000D1E8F"/>
    <w:rsid w:val="000D2445"/>
    <w:rsid w:val="000D2532"/>
    <w:rsid w:val="000D2797"/>
    <w:rsid w:val="000D29B8"/>
    <w:rsid w:val="000D39C2"/>
    <w:rsid w:val="000D39FA"/>
    <w:rsid w:val="000D491A"/>
    <w:rsid w:val="000D49CA"/>
    <w:rsid w:val="000D4AFB"/>
    <w:rsid w:val="000D4C79"/>
    <w:rsid w:val="000D505F"/>
    <w:rsid w:val="000D59C6"/>
    <w:rsid w:val="000D5B2C"/>
    <w:rsid w:val="000D794D"/>
    <w:rsid w:val="000D7C34"/>
    <w:rsid w:val="000E0661"/>
    <w:rsid w:val="000E0723"/>
    <w:rsid w:val="000E09AB"/>
    <w:rsid w:val="000E176A"/>
    <w:rsid w:val="000E1771"/>
    <w:rsid w:val="000E1ACF"/>
    <w:rsid w:val="000E3BE5"/>
    <w:rsid w:val="000E4671"/>
    <w:rsid w:val="000E4A0A"/>
    <w:rsid w:val="000E557D"/>
    <w:rsid w:val="000E7C54"/>
    <w:rsid w:val="000F01FA"/>
    <w:rsid w:val="000F07AD"/>
    <w:rsid w:val="000F1592"/>
    <w:rsid w:val="000F16A6"/>
    <w:rsid w:val="000F1741"/>
    <w:rsid w:val="000F2388"/>
    <w:rsid w:val="000F2B5C"/>
    <w:rsid w:val="000F3A16"/>
    <w:rsid w:val="000F4A67"/>
    <w:rsid w:val="000F53D0"/>
    <w:rsid w:val="0010168A"/>
    <w:rsid w:val="00102EF2"/>
    <w:rsid w:val="00103D29"/>
    <w:rsid w:val="00104112"/>
    <w:rsid w:val="00104396"/>
    <w:rsid w:val="00104930"/>
    <w:rsid w:val="00104ADA"/>
    <w:rsid w:val="0010703B"/>
    <w:rsid w:val="00107C9A"/>
    <w:rsid w:val="00110221"/>
    <w:rsid w:val="00110731"/>
    <w:rsid w:val="001116C6"/>
    <w:rsid w:val="00111D9D"/>
    <w:rsid w:val="00112B8A"/>
    <w:rsid w:val="0011300E"/>
    <w:rsid w:val="0011368B"/>
    <w:rsid w:val="00113E1F"/>
    <w:rsid w:val="0011421B"/>
    <w:rsid w:val="00114267"/>
    <w:rsid w:val="001146E5"/>
    <w:rsid w:val="00116901"/>
    <w:rsid w:val="00117BA5"/>
    <w:rsid w:val="00117D84"/>
    <w:rsid w:val="00121F65"/>
    <w:rsid w:val="001223E4"/>
    <w:rsid w:val="00122426"/>
    <w:rsid w:val="001224EF"/>
    <w:rsid w:val="0012297A"/>
    <w:rsid w:val="00122AF5"/>
    <w:rsid w:val="0012301E"/>
    <w:rsid w:val="00123454"/>
    <w:rsid w:val="00124CF1"/>
    <w:rsid w:val="001254F1"/>
    <w:rsid w:val="0012630B"/>
    <w:rsid w:val="001300B6"/>
    <w:rsid w:val="0013018A"/>
    <w:rsid w:val="00130897"/>
    <w:rsid w:val="00130DE8"/>
    <w:rsid w:val="001313CA"/>
    <w:rsid w:val="00132B5F"/>
    <w:rsid w:val="001332B3"/>
    <w:rsid w:val="00133852"/>
    <w:rsid w:val="0013680C"/>
    <w:rsid w:val="001369C7"/>
    <w:rsid w:val="00136F56"/>
    <w:rsid w:val="001376B0"/>
    <w:rsid w:val="00137CD0"/>
    <w:rsid w:val="00140719"/>
    <w:rsid w:val="001407C3"/>
    <w:rsid w:val="00141180"/>
    <w:rsid w:val="00142EA9"/>
    <w:rsid w:val="00144146"/>
    <w:rsid w:val="0014423A"/>
    <w:rsid w:val="00145094"/>
    <w:rsid w:val="00145AEA"/>
    <w:rsid w:val="00145DF0"/>
    <w:rsid w:val="0014723D"/>
    <w:rsid w:val="00147606"/>
    <w:rsid w:val="001478C6"/>
    <w:rsid w:val="00150BCD"/>
    <w:rsid w:val="00152A0D"/>
    <w:rsid w:val="00153314"/>
    <w:rsid w:val="001534E6"/>
    <w:rsid w:val="00153D78"/>
    <w:rsid w:val="0015440C"/>
    <w:rsid w:val="0015514A"/>
    <w:rsid w:val="0015664A"/>
    <w:rsid w:val="00157199"/>
    <w:rsid w:val="001606E8"/>
    <w:rsid w:val="0016138F"/>
    <w:rsid w:val="0016169A"/>
    <w:rsid w:val="00163A70"/>
    <w:rsid w:val="00164127"/>
    <w:rsid w:val="001655E6"/>
    <w:rsid w:val="00165D54"/>
    <w:rsid w:val="00165E04"/>
    <w:rsid w:val="001661B4"/>
    <w:rsid w:val="00166433"/>
    <w:rsid w:val="0017022E"/>
    <w:rsid w:val="00170F97"/>
    <w:rsid w:val="00172522"/>
    <w:rsid w:val="00173C1D"/>
    <w:rsid w:val="00175599"/>
    <w:rsid w:val="00175FFF"/>
    <w:rsid w:val="00176851"/>
    <w:rsid w:val="00176EC5"/>
    <w:rsid w:val="00177E61"/>
    <w:rsid w:val="00181718"/>
    <w:rsid w:val="00181EC7"/>
    <w:rsid w:val="00183BBA"/>
    <w:rsid w:val="00184C01"/>
    <w:rsid w:val="001850B7"/>
    <w:rsid w:val="001854AF"/>
    <w:rsid w:val="0018625B"/>
    <w:rsid w:val="00187126"/>
    <w:rsid w:val="001872C9"/>
    <w:rsid w:val="00187C4D"/>
    <w:rsid w:val="001905D2"/>
    <w:rsid w:val="00193113"/>
    <w:rsid w:val="00193471"/>
    <w:rsid w:val="00193E9E"/>
    <w:rsid w:val="0019423D"/>
    <w:rsid w:val="001946CE"/>
    <w:rsid w:val="00194DD7"/>
    <w:rsid w:val="001965CE"/>
    <w:rsid w:val="00196692"/>
    <w:rsid w:val="00197018"/>
    <w:rsid w:val="00197192"/>
    <w:rsid w:val="00197E13"/>
    <w:rsid w:val="001A01EE"/>
    <w:rsid w:val="001A0294"/>
    <w:rsid w:val="001A069B"/>
    <w:rsid w:val="001A0A43"/>
    <w:rsid w:val="001A1660"/>
    <w:rsid w:val="001A2048"/>
    <w:rsid w:val="001A2FD4"/>
    <w:rsid w:val="001A38AC"/>
    <w:rsid w:val="001A3D57"/>
    <w:rsid w:val="001A48B2"/>
    <w:rsid w:val="001A52EF"/>
    <w:rsid w:val="001A6429"/>
    <w:rsid w:val="001A7A57"/>
    <w:rsid w:val="001B06F6"/>
    <w:rsid w:val="001B2B98"/>
    <w:rsid w:val="001B31B9"/>
    <w:rsid w:val="001B3AD5"/>
    <w:rsid w:val="001B4116"/>
    <w:rsid w:val="001B44A5"/>
    <w:rsid w:val="001B6B3A"/>
    <w:rsid w:val="001B6C65"/>
    <w:rsid w:val="001B71C7"/>
    <w:rsid w:val="001B7224"/>
    <w:rsid w:val="001B72A5"/>
    <w:rsid w:val="001B7BB4"/>
    <w:rsid w:val="001C1127"/>
    <w:rsid w:val="001C5502"/>
    <w:rsid w:val="001C6955"/>
    <w:rsid w:val="001C7224"/>
    <w:rsid w:val="001C72CF"/>
    <w:rsid w:val="001D1CCC"/>
    <w:rsid w:val="001D2326"/>
    <w:rsid w:val="001D29B4"/>
    <w:rsid w:val="001D29DF"/>
    <w:rsid w:val="001D2CD7"/>
    <w:rsid w:val="001D3664"/>
    <w:rsid w:val="001D39B6"/>
    <w:rsid w:val="001D4617"/>
    <w:rsid w:val="001D4854"/>
    <w:rsid w:val="001D4D02"/>
    <w:rsid w:val="001D52A5"/>
    <w:rsid w:val="001D5936"/>
    <w:rsid w:val="001D6630"/>
    <w:rsid w:val="001D66A5"/>
    <w:rsid w:val="001D6DB2"/>
    <w:rsid w:val="001D745E"/>
    <w:rsid w:val="001E1DA8"/>
    <w:rsid w:val="001E229D"/>
    <w:rsid w:val="001E2419"/>
    <w:rsid w:val="001E4252"/>
    <w:rsid w:val="001E4262"/>
    <w:rsid w:val="001E4AEA"/>
    <w:rsid w:val="001E559A"/>
    <w:rsid w:val="001E5E48"/>
    <w:rsid w:val="001E62D6"/>
    <w:rsid w:val="001E7850"/>
    <w:rsid w:val="001F035B"/>
    <w:rsid w:val="001F036A"/>
    <w:rsid w:val="001F04BC"/>
    <w:rsid w:val="001F0924"/>
    <w:rsid w:val="001F0AC3"/>
    <w:rsid w:val="001F13C5"/>
    <w:rsid w:val="001F18BD"/>
    <w:rsid w:val="001F1FBC"/>
    <w:rsid w:val="001F34CE"/>
    <w:rsid w:val="001F4002"/>
    <w:rsid w:val="001F55B3"/>
    <w:rsid w:val="001F56E7"/>
    <w:rsid w:val="001F5A5F"/>
    <w:rsid w:val="001F5D36"/>
    <w:rsid w:val="001F6330"/>
    <w:rsid w:val="001F77CF"/>
    <w:rsid w:val="00200AE1"/>
    <w:rsid w:val="00202770"/>
    <w:rsid w:val="00203205"/>
    <w:rsid w:val="00206EF5"/>
    <w:rsid w:val="002073FE"/>
    <w:rsid w:val="00211AD3"/>
    <w:rsid w:val="00214ACE"/>
    <w:rsid w:val="002162A4"/>
    <w:rsid w:val="002169FE"/>
    <w:rsid w:val="00216C55"/>
    <w:rsid w:val="002174D5"/>
    <w:rsid w:val="002176F6"/>
    <w:rsid w:val="00220D47"/>
    <w:rsid w:val="00220F53"/>
    <w:rsid w:val="0022123A"/>
    <w:rsid w:val="0022197B"/>
    <w:rsid w:val="00224BBF"/>
    <w:rsid w:val="002256DF"/>
    <w:rsid w:val="00226A9A"/>
    <w:rsid w:val="00226FE0"/>
    <w:rsid w:val="00230083"/>
    <w:rsid w:val="002305F8"/>
    <w:rsid w:val="00232097"/>
    <w:rsid w:val="00232A45"/>
    <w:rsid w:val="002337D1"/>
    <w:rsid w:val="00233C0F"/>
    <w:rsid w:val="00235AFF"/>
    <w:rsid w:val="00235B1F"/>
    <w:rsid w:val="00237D3F"/>
    <w:rsid w:val="0024316B"/>
    <w:rsid w:val="00243178"/>
    <w:rsid w:val="00243DEE"/>
    <w:rsid w:val="00243DF7"/>
    <w:rsid w:val="00244990"/>
    <w:rsid w:val="00244E82"/>
    <w:rsid w:val="0024627D"/>
    <w:rsid w:val="00246299"/>
    <w:rsid w:val="002468B9"/>
    <w:rsid w:val="002471BC"/>
    <w:rsid w:val="00247410"/>
    <w:rsid w:val="002479BD"/>
    <w:rsid w:val="00247AC5"/>
    <w:rsid w:val="002500DF"/>
    <w:rsid w:val="00250DA5"/>
    <w:rsid w:val="0025172E"/>
    <w:rsid w:val="00253181"/>
    <w:rsid w:val="002546FB"/>
    <w:rsid w:val="00254785"/>
    <w:rsid w:val="00254BE7"/>
    <w:rsid w:val="0025509D"/>
    <w:rsid w:val="00255293"/>
    <w:rsid w:val="0025532A"/>
    <w:rsid w:val="0025555B"/>
    <w:rsid w:val="002568EF"/>
    <w:rsid w:val="0026196B"/>
    <w:rsid w:val="0026329E"/>
    <w:rsid w:val="0026342D"/>
    <w:rsid w:val="00263BB5"/>
    <w:rsid w:val="00265A26"/>
    <w:rsid w:val="00266250"/>
    <w:rsid w:val="00267B78"/>
    <w:rsid w:val="00270DB5"/>
    <w:rsid w:val="0027263E"/>
    <w:rsid w:val="002741A4"/>
    <w:rsid w:val="00274393"/>
    <w:rsid w:val="00274633"/>
    <w:rsid w:val="00275A9A"/>
    <w:rsid w:val="00277721"/>
    <w:rsid w:val="00280A57"/>
    <w:rsid w:val="00281351"/>
    <w:rsid w:val="002815A9"/>
    <w:rsid w:val="00281B5A"/>
    <w:rsid w:val="00282770"/>
    <w:rsid w:val="002832A4"/>
    <w:rsid w:val="002833DD"/>
    <w:rsid w:val="00283D62"/>
    <w:rsid w:val="00284393"/>
    <w:rsid w:val="00284663"/>
    <w:rsid w:val="00284D99"/>
    <w:rsid w:val="002851A0"/>
    <w:rsid w:val="0028571A"/>
    <w:rsid w:val="002859BD"/>
    <w:rsid w:val="00285F69"/>
    <w:rsid w:val="0028718A"/>
    <w:rsid w:val="00287660"/>
    <w:rsid w:val="00290004"/>
    <w:rsid w:val="002901E2"/>
    <w:rsid w:val="00290276"/>
    <w:rsid w:val="002904C7"/>
    <w:rsid w:val="00294CD4"/>
    <w:rsid w:val="00295D3E"/>
    <w:rsid w:val="00297204"/>
    <w:rsid w:val="002A1361"/>
    <w:rsid w:val="002A18CE"/>
    <w:rsid w:val="002A191A"/>
    <w:rsid w:val="002A2967"/>
    <w:rsid w:val="002A2986"/>
    <w:rsid w:val="002A2BD5"/>
    <w:rsid w:val="002A4737"/>
    <w:rsid w:val="002A662F"/>
    <w:rsid w:val="002A6C4A"/>
    <w:rsid w:val="002A6D5A"/>
    <w:rsid w:val="002A759D"/>
    <w:rsid w:val="002A7F7C"/>
    <w:rsid w:val="002B0FFE"/>
    <w:rsid w:val="002B2091"/>
    <w:rsid w:val="002B225D"/>
    <w:rsid w:val="002B25AB"/>
    <w:rsid w:val="002B323C"/>
    <w:rsid w:val="002B361F"/>
    <w:rsid w:val="002B37B2"/>
    <w:rsid w:val="002B5B34"/>
    <w:rsid w:val="002B7EC5"/>
    <w:rsid w:val="002C082A"/>
    <w:rsid w:val="002C12C6"/>
    <w:rsid w:val="002C2E95"/>
    <w:rsid w:val="002C4223"/>
    <w:rsid w:val="002C4554"/>
    <w:rsid w:val="002C4834"/>
    <w:rsid w:val="002C4FE6"/>
    <w:rsid w:val="002C5890"/>
    <w:rsid w:val="002C5EC6"/>
    <w:rsid w:val="002C648B"/>
    <w:rsid w:val="002C711F"/>
    <w:rsid w:val="002C745A"/>
    <w:rsid w:val="002C761E"/>
    <w:rsid w:val="002D0220"/>
    <w:rsid w:val="002D0633"/>
    <w:rsid w:val="002D1882"/>
    <w:rsid w:val="002D19C5"/>
    <w:rsid w:val="002D1D4B"/>
    <w:rsid w:val="002D2609"/>
    <w:rsid w:val="002D2633"/>
    <w:rsid w:val="002D34C3"/>
    <w:rsid w:val="002D3612"/>
    <w:rsid w:val="002D5420"/>
    <w:rsid w:val="002D611C"/>
    <w:rsid w:val="002D7CA3"/>
    <w:rsid w:val="002E0821"/>
    <w:rsid w:val="002E14D8"/>
    <w:rsid w:val="002E156B"/>
    <w:rsid w:val="002E1803"/>
    <w:rsid w:val="002E35BD"/>
    <w:rsid w:val="002E4362"/>
    <w:rsid w:val="002E63DF"/>
    <w:rsid w:val="002E6449"/>
    <w:rsid w:val="002E6BF6"/>
    <w:rsid w:val="002E7785"/>
    <w:rsid w:val="002F0B5A"/>
    <w:rsid w:val="002F0C7D"/>
    <w:rsid w:val="002F1262"/>
    <w:rsid w:val="002F1768"/>
    <w:rsid w:val="002F2899"/>
    <w:rsid w:val="002F3556"/>
    <w:rsid w:val="002F3BF1"/>
    <w:rsid w:val="002F3F90"/>
    <w:rsid w:val="002F4825"/>
    <w:rsid w:val="002F50D1"/>
    <w:rsid w:val="002F5EB4"/>
    <w:rsid w:val="002F5FB2"/>
    <w:rsid w:val="002F6BFD"/>
    <w:rsid w:val="002F6C42"/>
    <w:rsid w:val="002F73BE"/>
    <w:rsid w:val="002F7461"/>
    <w:rsid w:val="002F7CB9"/>
    <w:rsid w:val="002F7E0E"/>
    <w:rsid w:val="00300763"/>
    <w:rsid w:val="00300F50"/>
    <w:rsid w:val="00302AC3"/>
    <w:rsid w:val="00302B66"/>
    <w:rsid w:val="00303A31"/>
    <w:rsid w:val="00303F1C"/>
    <w:rsid w:val="0030417E"/>
    <w:rsid w:val="00304486"/>
    <w:rsid w:val="003053ED"/>
    <w:rsid w:val="003059BB"/>
    <w:rsid w:val="00305A06"/>
    <w:rsid w:val="0030615E"/>
    <w:rsid w:val="00306C6A"/>
    <w:rsid w:val="00310770"/>
    <w:rsid w:val="00310AEB"/>
    <w:rsid w:val="00310BF6"/>
    <w:rsid w:val="003115D2"/>
    <w:rsid w:val="0031233F"/>
    <w:rsid w:val="00313113"/>
    <w:rsid w:val="003131FF"/>
    <w:rsid w:val="00313248"/>
    <w:rsid w:val="00313A5C"/>
    <w:rsid w:val="00314320"/>
    <w:rsid w:val="00315DDC"/>
    <w:rsid w:val="003177AD"/>
    <w:rsid w:val="00317C60"/>
    <w:rsid w:val="0032002F"/>
    <w:rsid w:val="0032014A"/>
    <w:rsid w:val="003226AC"/>
    <w:rsid w:val="00323333"/>
    <w:rsid w:val="00323B04"/>
    <w:rsid w:val="00324F5B"/>
    <w:rsid w:val="00325583"/>
    <w:rsid w:val="0032627B"/>
    <w:rsid w:val="0032636E"/>
    <w:rsid w:val="00326EC2"/>
    <w:rsid w:val="00330CC9"/>
    <w:rsid w:val="00331A01"/>
    <w:rsid w:val="00331CED"/>
    <w:rsid w:val="00331D94"/>
    <w:rsid w:val="0033401B"/>
    <w:rsid w:val="003344E5"/>
    <w:rsid w:val="003353D8"/>
    <w:rsid w:val="0033547F"/>
    <w:rsid w:val="0033682F"/>
    <w:rsid w:val="00336F88"/>
    <w:rsid w:val="003372B4"/>
    <w:rsid w:val="003379D6"/>
    <w:rsid w:val="003403D3"/>
    <w:rsid w:val="003408AC"/>
    <w:rsid w:val="003449A6"/>
    <w:rsid w:val="00344B85"/>
    <w:rsid w:val="003451EC"/>
    <w:rsid w:val="00345257"/>
    <w:rsid w:val="00345ACC"/>
    <w:rsid w:val="00345C2D"/>
    <w:rsid w:val="003467D5"/>
    <w:rsid w:val="003473AB"/>
    <w:rsid w:val="00347714"/>
    <w:rsid w:val="003478DC"/>
    <w:rsid w:val="003526E7"/>
    <w:rsid w:val="00352C24"/>
    <w:rsid w:val="003531FB"/>
    <w:rsid w:val="003535D8"/>
    <w:rsid w:val="00354AE2"/>
    <w:rsid w:val="00355168"/>
    <w:rsid w:val="00355C16"/>
    <w:rsid w:val="00355F22"/>
    <w:rsid w:val="00356270"/>
    <w:rsid w:val="00361D6E"/>
    <w:rsid w:val="00361DB7"/>
    <w:rsid w:val="0036214E"/>
    <w:rsid w:val="00362FDD"/>
    <w:rsid w:val="00363030"/>
    <w:rsid w:val="003643AF"/>
    <w:rsid w:val="00365A1E"/>
    <w:rsid w:val="00365FE1"/>
    <w:rsid w:val="00367917"/>
    <w:rsid w:val="0037136C"/>
    <w:rsid w:val="0037183C"/>
    <w:rsid w:val="00372D97"/>
    <w:rsid w:val="003731D9"/>
    <w:rsid w:val="00373B3B"/>
    <w:rsid w:val="00374774"/>
    <w:rsid w:val="003747BF"/>
    <w:rsid w:val="003752D6"/>
    <w:rsid w:val="0037555C"/>
    <w:rsid w:val="003758E8"/>
    <w:rsid w:val="0037727B"/>
    <w:rsid w:val="00377553"/>
    <w:rsid w:val="0037774C"/>
    <w:rsid w:val="00377DAE"/>
    <w:rsid w:val="00380F9D"/>
    <w:rsid w:val="00381607"/>
    <w:rsid w:val="00381900"/>
    <w:rsid w:val="00383594"/>
    <w:rsid w:val="00383917"/>
    <w:rsid w:val="00384257"/>
    <w:rsid w:val="003859AC"/>
    <w:rsid w:val="00385C6D"/>
    <w:rsid w:val="0038607A"/>
    <w:rsid w:val="00386F9A"/>
    <w:rsid w:val="00387A5B"/>
    <w:rsid w:val="0039013B"/>
    <w:rsid w:val="003924C4"/>
    <w:rsid w:val="0039285E"/>
    <w:rsid w:val="00393994"/>
    <w:rsid w:val="00394274"/>
    <w:rsid w:val="003943EC"/>
    <w:rsid w:val="0039577F"/>
    <w:rsid w:val="00396D48"/>
    <w:rsid w:val="003A06B3"/>
    <w:rsid w:val="003A139F"/>
    <w:rsid w:val="003A1D8B"/>
    <w:rsid w:val="003A29E1"/>
    <w:rsid w:val="003A3F79"/>
    <w:rsid w:val="003A42BE"/>
    <w:rsid w:val="003A4D76"/>
    <w:rsid w:val="003A5502"/>
    <w:rsid w:val="003A76E4"/>
    <w:rsid w:val="003B02D6"/>
    <w:rsid w:val="003B05D0"/>
    <w:rsid w:val="003B0693"/>
    <w:rsid w:val="003B1045"/>
    <w:rsid w:val="003B259C"/>
    <w:rsid w:val="003B3101"/>
    <w:rsid w:val="003B3E8D"/>
    <w:rsid w:val="003B4595"/>
    <w:rsid w:val="003B4985"/>
    <w:rsid w:val="003B4DB5"/>
    <w:rsid w:val="003B5B62"/>
    <w:rsid w:val="003B67CD"/>
    <w:rsid w:val="003C03E1"/>
    <w:rsid w:val="003C0A88"/>
    <w:rsid w:val="003C1118"/>
    <w:rsid w:val="003C130A"/>
    <w:rsid w:val="003C195B"/>
    <w:rsid w:val="003C28FA"/>
    <w:rsid w:val="003C2CD5"/>
    <w:rsid w:val="003C32CA"/>
    <w:rsid w:val="003C3890"/>
    <w:rsid w:val="003C3FFD"/>
    <w:rsid w:val="003C5564"/>
    <w:rsid w:val="003C7E4C"/>
    <w:rsid w:val="003D1062"/>
    <w:rsid w:val="003D13AC"/>
    <w:rsid w:val="003D1474"/>
    <w:rsid w:val="003D1A9E"/>
    <w:rsid w:val="003D1E08"/>
    <w:rsid w:val="003D215F"/>
    <w:rsid w:val="003D2ABC"/>
    <w:rsid w:val="003D4787"/>
    <w:rsid w:val="003D5B9B"/>
    <w:rsid w:val="003D5FEE"/>
    <w:rsid w:val="003D6A64"/>
    <w:rsid w:val="003D721D"/>
    <w:rsid w:val="003D739A"/>
    <w:rsid w:val="003D7906"/>
    <w:rsid w:val="003D79E0"/>
    <w:rsid w:val="003D7A31"/>
    <w:rsid w:val="003E0A4B"/>
    <w:rsid w:val="003E0DD3"/>
    <w:rsid w:val="003E14FE"/>
    <w:rsid w:val="003E1853"/>
    <w:rsid w:val="003E1F0F"/>
    <w:rsid w:val="003E2303"/>
    <w:rsid w:val="003E23E5"/>
    <w:rsid w:val="003E3D2F"/>
    <w:rsid w:val="003E436A"/>
    <w:rsid w:val="003E5139"/>
    <w:rsid w:val="003E5A28"/>
    <w:rsid w:val="003E643B"/>
    <w:rsid w:val="003E64A6"/>
    <w:rsid w:val="003E7AEC"/>
    <w:rsid w:val="003F0178"/>
    <w:rsid w:val="003F0838"/>
    <w:rsid w:val="003F0E84"/>
    <w:rsid w:val="003F1491"/>
    <w:rsid w:val="003F17DB"/>
    <w:rsid w:val="003F1FE2"/>
    <w:rsid w:val="003F2B7A"/>
    <w:rsid w:val="003F2C35"/>
    <w:rsid w:val="003F2F81"/>
    <w:rsid w:val="003F3213"/>
    <w:rsid w:val="003F331B"/>
    <w:rsid w:val="003F4BDE"/>
    <w:rsid w:val="003F4EA8"/>
    <w:rsid w:val="003F5999"/>
    <w:rsid w:val="003F5AB4"/>
    <w:rsid w:val="003F6CBF"/>
    <w:rsid w:val="003F6E59"/>
    <w:rsid w:val="0040074A"/>
    <w:rsid w:val="00401851"/>
    <w:rsid w:val="00402E8C"/>
    <w:rsid w:val="0040358E"/>
    <w:rsid w:val="0040368F"/>
    <w:rsid w:val="0040379D"/>
    <w:rsid w:val="00403E6E"/>
    <w:rsid w:val="004044D8"/>
    <w:rsid w:val="004051A7"/>
    <w:rsid w:val="0040577C"/>
    <w:rsid w:val="00405B15"/>
    <w:rsid w:val="00406226"/>
    <w:rsid w:val="00406B6F"/>
    <w:rsid w:val="00410172"/>
    <w:rsid w:val="00410450"/>
    <w:rsid w:val="00410765"/>
    <w:rsid w:val="004108E7"/>
    <w:rsid w:val="00410AA2"/>
    <w:rsid w:val="00410DAA"/>
    <w:rsid w:val="0041196F"/>
    <w:rsid w:val="004121EE"/>
    <w:rsid w:val="0041458B"/>
    <w:rsid w:val="00414E1F"/>
    <w:rsid w:val="00415465"/>
    <w:rsid w:val="004154C2"/>
    <w:rsid w:val="00415536"/>
    <w:rsid w:val="0041604F"/>
    <w:rsid w:val="00416ED6"/>
    <w:rsid w:val="00420881"/>
    <w:rsid w:val="00420A04"/>
    <w:rsid w:val="00420DD2"/>
    <w:rsid w:val="00421FCF"/>
    <w:rsid w:val="00423599"/>
    <w:rsid w:val="00423A7A"/>
    <w:rsid w:val="0042492C"/>
    <w:rsid w:val="00425224"/>
    <w:rsid w:val="004259EA"/>
    <w:rsid w:val="0042730C"/>
    <w:rsid w:val="004274E9"/>
    <w:rsid w:val="004301D6"/>
    <w:rsid w:val="004303B2"/>
    <w:rsid w:val="00430C99"/>
    <w:rsid w:val="0043174F"/>
    <w:rsid w:val="004322F1"/>
    <w:rsid w:val="004326CB"/>
    <w:rsid w:val="00432B2A"/>
    <w:rsid w:val="004335A3"/>
    <w:rsid w:val="004335BF"/>
    <w:rsid w:val="00433A7F"/>
    <w:rsid w:val="00433DFC"/>
    <w:rsid w:val="00433E39"/>
    <w:rsid w:val="00433F8E"/>
    <w:rsid w:val="00435163"/>
    <w:rsid w:val="00435210"/>
    <w:rsid w:val="00435B9A"/>
    <w:rsid w:val="0043695D"/>
    <w:rsid w:val="00437F12"/>
    <w:rsid w:val="00441C61"/>
    <w:rsid w:val="00441D39"/>
    <w:rsid w:val="00442112"/>
    <w:rsid w:val="00443A5F"/>
    <w:rsid w:val="00444617"/>
    <w:rsid w:val="00444DE7"/>
    <w:rsid w:val="00445B84"/>
    <w:rsid w:val="004467B2"/>
    <w:rsid w:val="00446908"/>
    <w:rsid w:val="0044717B"/>
    <w:rsid w:val="0045065F"/>
    <w:rsid w:val="00451CB0"/>
    <w:rsid w:val="00453747"/>
    <w:rsid w:val="004543BD"/>
    <w:rsid w:val="00454526"/>
    <w:rsid w:val="00455346"/>
    <w:rsid w:val="00455990"/>
    <w:rsid w:val="00455EEF"/>
    <w:rsid w:val="00456A09"/>
    <w:rsid w:val="004571FD"/>
    <w:rsid w:val="004578AE"/>
    <w:rsid w:val="00461513"/>
    <w:rsid w:val="00461560"/>
    <w:rsid w:val="00461A2E"/>
    <w:rsid w:val="00462713"/>
    <w:rsid w:val="0046299E"/>
    <w:rsid w:val="004637F5"/>
    <w:rsid w:val="00463CEC"/>
    <w:rsid w:val="0046482D"/>
    <w:rsid w:val="00465747"/>
    <w:rsid w:val="004668E6"/>
    <w:rsid w:val="00467A08"/>
    <w:rsid w:val="00467C0E"/>
    <w:rsid w:val="0047184A"/>
    <w:rsid w:val="00471A3D"/>
    <w:rsid w:val="00472201"/>
    <w:rsid w:val="004726C9"/>
    <w:rsid w:val="00472ECA"/>
    <w:rsid w:val="00473CCD"/>
    <w:rsid w:val="0047463E"/>
    <w:rsid w:val="00474991"/>
    <w:rsid w:val="00477A79"/>
    <w:rsid w:val="004807B3"/>
    <w:rsid w:val="0048242A"/>
    <w:rsid w:val="004832A5"/>
    <w:rsid w:val="004834CA"/>
    <w:rsid w:val="00484A72"/>
    <w:rsid w:val="00484F75"/>
    <w:rsid w:val="00485A81"/>
    <w:rsid w:val="00485B1A"/>
    <w:rsid w:val="00487A2A"/>
    <w:rsid w:val="00491F66"/>
    <w:rsid w:val="00492156"/>
    <w:rsid w:val="004922C9"/>
    <w:rsid w:val="00492EB5"/>
    <w:rsid w:val="004930DA"/>
    <w:rsid w:val="0049438D"/>
    <w:rsid w:val="00494DC3"/>
    <w:rsid w:val="0049616A"/>
    <w:rsid w:val="004962BD"/>
    <w:rsid w:val="00497853"/>
    <w:rsid w:val="004A18A2"/>
    <w:rsid w:val="004A21FB"/>
    <w:rsid w:val="004A3F16"/>
    <w:rsid w:val="004A5490"/>
    <w:rsid w:val="004A5B31"/>
    <w:rsid w:val="004A78F5"/>
    <w:rsid w:val="004A7FB3"/>
    <w:rsid w:val="004B0F4B"/>
    <w:rsid w:val="004B1E5A"/>
    <w:rsid w:val="004B1F57"/>
    <w:rsid w:val="004B284B"/>
    <w:rsid w:val="004B3B87"/>
    <w:rsid w:val="004B4478"/>
    <w:rsid w:val="004B60E4"/>
    <w:rsid w:val="004C0748"/>
    <w:rsid w:val="004C0DE7"/>
    <w:rsid w:val="004C23DF"/>
    <w:rsid w:val="004C2856"/>
    <w:rsid w:val="004C3263"/>
    <w:rsid w:val="004C3510"/>
    <w:rsid w:val="004C51E9"/>
    <w:rsid w:val="004C5A69"/>
    <w:rsid w:val="004C726E"/>
    <w:rsid w:val="004C7362"/>
    <w:rsid w:val="004C7C2B"/>
    <w:rsid w:val="004D1401"/>
    <w:rsid w:val="004D1AC5"/>
    <w:rsid w:val="004D1C64"/>
    <w:rsid w:val="004D2C78"/>
    <w:rsid w:val="004D2E76"/>
    <w:rsid w:val="004D30AA"/>
    <w:rsid w:val="004D360A"/>
    <w:rsid w:val="004D4126"/>
    <w:rsid w:val="004D4558"/>
    <w:rsid w:val="004D4973"/>
    <w:rsid w:val="004D6963"/>
    <w:rsid w:val="004D6DDA"/>
    <w:rsid w:val="004D6E80"/>
    <w:rsid w:val="004D7271"/>
    <w:rsid w:val="004D7FDC"/>
    <w:rsid w:val="004E10F8"/>
    <w:rsid w:val="004E4788"/>
    <w:rsid w:val="004E5AE1"/>
    <w:rsid w:val="004E5D90"/>
    <w:rsid w:val="004E7625"/>
    <w:rsid w:val="004E766B"/>
    <w:rsid w:val="004E7AC1"/>
    <w:rsid w:val="004F0AF8"/>
    <w:rsid w:val="004F0FA2"/>
    <w:rsid w:val="004F212E"/>
    <w:rsid w:val="004F33CE"/>
    <w:rsid w:val="004F34E3"/>
    <w:rsid w:val="004F3DBA"/>
    <w:rsid w:val="004F49C1"/>
    <w:rsid w:val="004F5909"/>
    <w:rsid w:val="004F5D65"/>
    <w:rsid w:val="004F6194"/>
    <w:rsid w:val="004F733B"/>
    <w:rsid w:val="004F7535"/>
    <w:rsid w:val="004F7646"/>
    <w:rsid w:val="004F7AE6"/>
    <w:rsid w:val="004F7F92"/>
    <w:rsid w:val="005001AD"/>
    <w:rsid w:val="0050204B"/>
    <w:rsid w:val="00502941"/>
    <w:rsid w:val="00502AB6"/>
    <w:rsid w:val="00504645"/>
    <w:rsid w:val="00505164"/>
    <w:rsid w:val="00505703"/>
    <w:rsid w:val="005069C7"/>
    <w:rsid w:val="00506C32"/>
    <w:rsid w:val="00506F59"/>
    <w:rsid w:val="0050717D"/>
    <w:rsid w:val="00507CBA"/>
    <w:rsid w:val="00510A19"/>
    <w:rsid w:val="00510F96"/>
    <w:rsid w:val="00511210"/>
    <w:rsid w:val="005121C2"/>
    <w:rsid w:val="00513CCD"/>
    <w:rsid w:val="00514DE4"/>
    <w:rsid w:val="00516C58"/>
    <w:rsid w:val="00520BF4"/>
    <w:rsid w:val="00521026"/>
    <w:rsid w:val="0052166D"/>
    <w:rsid w:val="00521B3E"/>
    <w:rsid w:val="00521E31"/>
    <w:rsid w:val="005222FF"/>
    <w:rsid w:val="0052437A"/>
    <w:rsid w:val="005247FC"/>
    <w:rsid w:val="005250EC"/>
    <w:rsid w:val="00525C3D"/>
    <w:rsid w:val="00526EB3"/>
    <w:rsid w:val="00527704"/>
    <w:rsid w:val="00527F17"/>
    <w:rsid w:val="0053129D"/>
    <w:rsid w:val="0053203D"/>
    <w:rsid w:val="0053279A"/>
    <w:rsid w:val="00533040"/>
    <w:rsid w:val="00533811"/>
    <w:rsid w:val="00535797"/>
    <w:rsid w:val="00535FA5"/>
    <w:rsid w:val="005364A8"/>
    <w:rsid w:val="00541ED2"/>
    <w:rsid w:val="00542195"/>
    <w:rsid w:val="0054234E"/>
    <w:rsid w:val="00543021"/>
    <w:rsid w:val="005443D9"/>
    <w:rsid w:val="00545278"/>
    <w:rsid w:val="00545E40"/>
    <w:rsid w:val="00546427"/>
    <w:rsid w:val="0054663B"/>
    <w:rsid w:val="005472B4"/>
    <w:rsid w:val="00547373"/>
    <w:rsid w:val="0055022D"/>
    <w:rsid w:val="00550CBF"/>
    <w:rsid w:val="0055133F"/>
    <w:rsid w:val="005523F0"/>
    <w:rsid w:val="005525CC"/>
    <w:rsid w:val="00553622"/>
    <w:rsid w:val="0055405F"/>
    <w:rsid w:val="005543FE"/>
    <w:rsid w:val="00554519"/>
    <w:rsid w:val="00555170"/>
    <w:rsid w:val="0055577F"/>
    <w:rsid w:val="005569B9"/>
    <w:rsid w:val="00556BF9"/>
    <w:rsid w:val="00556F81"/>
    <w:rsid w:val="00557CFD"/>
    <w:rsid w:val="005603B7"/>
    <w:rsid w:val="005603E0"/>
    <w:rsid w:val="00561341"/>
    <w:rsid w:val="00562236"/>
    <w:rsid w:val="0056324A"/>
    <w:rsid w:val="00563A72"/>
    <w:rsid w:val="00564088"/>
    <w:rsid w:val="0056449A"/>
    <w:rsid w:val="005667EE"/>
    <w:rsid w:val="005676E4"/>
    <w:rsid w:val="0057034B"/>
    <w:rsid w:val="0057070D"/>
    <w:rsid w:val="00570CE0"/>
    <w:rsid w:val="00570E70"/>
    <w:rsid w:val="00570F3A"/>
    <w:rsid w:val="005713E0"/>
    <w:rsid w:val="005721D8"/>
    <w:rsid w:val="00572EEB"/>
    <w:rsid w:val="00572FF2"/>
    <w:rsid w:val="0057328B"/>
    <w:rsid w:val="00573D54"/>
    <w:rsid w:val="00574BF9"/>
    <w:rsid w:val="00575219"/>
    <w:rsid w:val="00575732"/>
    <w:rsid w:val="00576061"/>
    <w:rsid w:val="0057709B"/>
    <w:rsid w:val="0057770E"/>
    <w:rsid w:val="00577C47"/>
    <w:rsid w:val="005814C9"/>
    <w:rsid w:val="00581817"/>
    <w:rsid w:val="00583459"/>
    <w:rsid w:val="005839F3"/>
    <w:rsid w:val="0058451D"/>
    <w:rsid w:val="00584E29"/>
    <w:rsid w:val="0058542E"/>
    <w:rsid w:val="005862AC"/>
    <w:rsid w:val="005865EC"/>
    <w:rsid w:val="00586BA3"/>
    <w:rsid w:val="00587351"/>
    <w:rsid w:val="005875A7"/>
    <w:rsid w:val="005904B1"/>
    <w:rsid w:val="005906DB"/>
    <w:rsid w:val="00590F71"/>
    <w:rsid w:val="00591520"/>
    <w:rsid w:val="00594445"/>
    <w:rsid w:val="00595573"/>
    <w:rsid w:val="00597704"/>
    <w:rsid w:val="005A0817"/>
    <w:rsid w:val="005A2ED3"/>
    <w:rsid w:val="005A3595"/>
    <w:rsid w:val="005A4CD6"/>
    <w:rsid w:val="005A5183"/>
    <w:rsid w:val="005A5D9B"/>
    <w:rsid w:val="005A608E"/>
    <w:rsid w:val="005A6CCF"/>
    <w:rsid w:val="005B049A"/>
    <w:rsid w:val="005B0CD7"/>
    <w:rsid w:val="005B32D5"/>
    <w:rsid w:val="005B55BF"/>
    <w:rsid w:val="005B5AD9"/>
    <w:rsid w:val="005B7D77"/>
    <w:rsid w:val="005C06AC"/>
    <w:rsid w:val="005C09D2"/>
    <w:rsid w:val="005C1E2D"/>
    <w:rsid w:val="005C2F75"/>
    <w:rsid w:val="005C412B"/>
    <w:rsid w:val="005C4510"/>
    <w:rsid w:val="005C59C0"/>
    <w:rsid w:val="005C5FC5"/>
    <w:rsid w:val="005C6424"/>
    <w:rsid w:val="005C7E45"/>
    <w:rsid w:val="005D276A"/>
    <w:rsid w:val="005D2DBD"/>
    <w:rsid w:val="005D421C"/>
    <w:rsid w:val="005D5BF1"/>
    <w:rsid w:val="005D67DA"/>
    <w:rsid w:val="005E0B91"/>
    <w:rsid w:val="005E1996"/>
    <w:rsid w:val="005E3328"/>
    <w:rsid w:val="005E34BB"/>
    <w:rsid w:val="005E39B6"/>
    <w:rsid w:val="005E3BB1"/>
    <w:rsid w:val="005E3CA5"/>
    <w:rsid w:val="005E4E2B"/>
    <w:rsid w:val="005E52A1"/>
    <w:rsid w:val="005E53E9"/>
    <w:rsid w:val="005E5D0C"/>
    <w:rsid w:val="005E6457"/>
    <w:rsid w:val="005E66F2"/>
    <w:rsid w:val="005E6B9F"/>
    <w:rsid w:val="005E78FD"/>
    <w:rsid w:val="005F0685"/>
    <w:rsid w:val="005F0899"/>
    <w:rsid w:val="005F0E10"/>
    <w:rsid w:val="005F1273"/>
    <w:rsid w:val="005F1702"/>
    <w:rsid w:val="005F2DFE"/>
    <w:rsid w:val="005F323B"/>
    <w:rsid w:val="005F3655"/>
    <w:rsid w:val="005F3CCB"/>
    <w:rsid w:val="005F3CD6"/>
    <w:rsid w:val="005F4D8E"/>
    <w:rsid w:val="005F6FEE"/>
    <w:rsid w:val="005F7910"/>
    <w:rsid w:val="0060062F"/>
    <w:rsid w:val="00600A6C"/>
    <w:rsid w:val="00600BBE"/>
    <w:rsid w:val="006011BF"/>
    <w:rsid w:val="00601278"/>
    <w:rsid w:val="00601386"/>
    <w:rsid w:val="00601847"/>
    <w:rsid w:val="00601B46"/>
    <w:rsid w:val="0060260C"/>
    <w:rsid w:val="006033EA"/>
    <w:rsid w:val="00603E86"/>
    <w:rsid w:val="006042D4"/>
    <w:rsid w:val="0060535F"/>
    <w:rsid w:val="00606A86"/>
    <w:rsid w:val="00606CDE"/>
    <w:rsid w:val="006073BE"/>
    <w:rsid w:val="006102CC"/>
    <w:rsid w:val="00611105"/>
    <w:rsid w:val="00611247"/>
    <w:rsid w:val="00612279"/>
    <w:rsid w:val="00612A7C"/>
    <w:rsid w:val="00612E1E"/>
    <w:rsid w:val="006131B9"/>
    <w:rsid w:val="00613764"/>
    <w:rsid w:val="00613B2E"/>
    <w:rsid w:val="00613CFB"/>
    <w:rsid w:val="00613FDB"/>
    <w:rsid w:val="0061446D"/>
    <w:rsid w:val="006164CF"/>
    <w:rsid w:val="006167F9"/>
    <w:rsid w:val="00617806"/>
    <w:rsid w:val="00617BB4"/>
    <w:rsid w:val="006215EB"/>
    <w:rsid w:val="0062242D"/>
    <w:rsid w:val="00623293"/>
    <w:rsid w:val="0062379F"/>
    <w:rsid w:val="00623EC3"/>
    <w:rsid w:val="006249C2"/>
    <w:rsid w:val="006265F6"/>
    <w:rsid w:val="00627869"/>
    <w:rsid w:val="00627FF8"/>
    <w:rsid w:val="00630399"/>
    <w:rsid w:val="00630C93"/>
    <w:rsid w:val="0063223F"/>
    <w:rsid w:val="00633CDF"/>
    <w:rsid w:val="00634FF6"/>
    <w:rsid w:val="00635A27"/>
    <w:rsid w:val="00635CE7"/>
    <w:rsid w:val="00636108"/>
    <w:rsid w:val="006369FD"/>
    <w:rsid w:val="00637544"/>
    <w:rsid w:val="00640DCC"/>
    <w:rsid w:val="00641C63"/>
    <w:rsid w:val="0064283C"/>
    <w:rsid w:val="006429AF"/>
    <w:rsid w:val="00642A62"/>
    <w:rsid w:val="00642C3E"/>
    <w:rsid w:val="00643D30"/>
    <w:rsid w:val="00644284"/>
    <w:rsid w:val="006454AC"/>
    <w:rsid w:val="00645BDE"/>
    <w:rsid w:val="00646060"/>
    <w:rsid w:val="00651B38"/>
    <w:rsid w:val="00652D2F"/>
    <w:rsid w:val="006556CF"/>
    <w:rsid w:val="00655C34"/>
    <w:rsid w:val="0065717C"/>
    <w:rsid w:val="00660100"/>
    <w:rsid w:val="00661422"/>
    <w:rsid w:val="00661635"/>
    <w:rsid w:val="00662ABF"/>
    <w:rsid w:val="00662B80"/>
    <w:rsid w:val="00664926"/>
    <w:rsid w:val="006658BB"/>
    <w:rsid w:val="00665CC6"/>
    <w:rsid w:val="00666A46"/>
    <w:rsid w:val="0066706D"/>
    <w:rsid w:val="00667210"/>
    <w:rsid w:val="00667528"/>
    <w:rsid w:val="0067001F"/>
    <w:rsid w:val="00670DD2"/>
    <w:rsid w:val="0067280C"/>
    <w:rsid w:val="006730C7"/>
    <w:rsid w:val="00673FA4"/>
    <w:rsid w:val="00674B8D"/>
    <w:rsid w:val="00675293"/>
    <w:rsid w:val="00675B4B"/>
    <w:rsid w:val="006771EE"/>
    <w:rsid w:val="0068007E"/>
    <w:rsid w:val="00680DDA"/>
    <w:rsid w:val="00681143"/>
    <w:rsid w:val="0068159F"/>
    <w:rsid w:val="00681BE3"/>
    <w:rsid w:val="006829F3"/>
    <w:rsid w:val="006837F4"/>
    <w:rsid w:val="00683917"/>
    <w:rsid w:val="00683C3A"/>
    <w:rsid w:val="00684027"/>
    <w:rsid w:val="006840E4"/>
    <w:rsid w:val="00684762"/>
    <w:rsid w:val="006857F8"/>
    <w:rsid w:val="006866B6"/>
    <w:rsid w:val="00686811"/>
    <w:rsid w:val="006878F0"/>
    <w:rsid w:val="006901FB"/>
    <w:rsid w:val="00691708"/>
    <w:rsid w:val="00691B01"/>
    <w:rsid w:val="0069326E"/>
    <w:rsid w:val="00695C9E"/>
    <w:rsid w:val="00695FBC"/>
    <w:rsid w:val="00696313"/>
    <w:rsid w:val="00696B0F"/>
    <w:rsid w:val="006A0007"/>
    <w:rsid w:val="006A047E"/>
    <w:rsid w:val="006A0534"/>
    <w:rsid w:val="006A0953"/>
    <w:rsid w:val="006A0BA0"/>
    <w:rsid w:val="006A3BB9"/>
    <w:rsid w:val="006A3D86"/>
    <w:rsid w:val="006A4636"/>
    <w:rsid w:val="006A4FCE"/>
    <w:rsid w:val="006A5089"/>
    <w:rsid w:val="006A6108"/>
    <w:rsid w:val="006A68B9"/>
    <w:rsid w:val="006B154A"/>
    <w:rsid w:val="006B187D"/>
    <w:rsid w:val="006B1B2C"/>
    <w:rsid w:val="006B1D4E"/>
    <w:rsid w:val="006B31ED"/>
    <w:rsid w:val="006B3618"/>
    <w:rsid w:val="006B36EE"/>
    <w:rsid w:val="006B5C17"/>
    <w:rsid w:val="006B6E17"/>
    <w:rsid w:val="006B79AA"/>
    <w:rsid w:val="006C1AC2"/>
    <w:rsid w:val="006C3CBC"/>
    <w:rsid w:val="006C3D12"/>
    <w:rsid w:val="006C557D"/>
    <w:rsid w:val="006C6E58"/>
    <w:rsid w:val="006C74A6"/>
    <w:rsid w:val="006C7A79"/>
    <w:rsid w:val="006D0219"/>
    <w:rsid w:val="006D02DA"/>
    <w:rsid w:val="006D0997"/>
    <w:rsid w:val="006D1306"/>
    <w:rsid w:val="006D1792"/>
    <w:rsid w:val="006D3C3D"/>
    <w:rsid w:val="006D48C4"/>
    <w:rsid w:val="006D5598"/>
    <w:rsid w:val="006D5904"/>
    <w:rsid w:val="006D6804"/>
    <w:rsid w:val="006D6D51"/>
    <w:rsid w:val="006D6F1F"/>
    <w:rsid w:val="006D7294"/>
    <w:rsid w:val="006D7D95"/>
    <w:rsid w:val="006D7E08"/>
    <w:rsid w:val="006E1255"/>
    <w:rsid w:val="006E1D27"/>
    <w:rsid w:val="006E2132"/>
    <w:rsid w:val="006E2ADD"/>
    <w:rsid w:val="006E30C1"/>
    <w:rsid w:val="006E33D9"/>
    <w:rsid w:val="006E4685"/>
    <w:rsid w:val="006E7B50"/>
    <w:rsid w:val="006F135A"/>
    <w:rsid w:val="006F1A0B"/>
    <w:rsid w:val="006F3879"/>
    <w:rsid w:val="006F4027"/>
    <w:rsid w:val="006F4571"/>
    <w:rsid w:val="006F69BA"/>
    <w:rsid w:val="006F7555"/>
    <w:rsid w:val="00701AAC"/>
    <w:rsid w:val="00702052"/>
    <w:rsid w:val="00704141"/>
    <w:rsid w:val="00705250"/>
    <w:rsid w:val="007059B8"/>
    <w:rsid w:val="00705C56"/>
    <w:rsid w:val="007064FD"/>
    <w:rsid w:val="007065E7"/>
    <w:rsid w:val="00706921"/>
    <w:rsid w:val="00707045"/>
    <w:rsid w:val="007076F0"/>
    <w:rsid w:val="00707983"/>
    <w:rsid w:val="0071153A"/>
    <w:rsid w:val="00711E3C"/>
    <w:rsid w:val="00712253"/>
    <w:rsid w:val="00712BF3"/>
    <w:rsid w:val="00712CC2"/>
    <w:rsid w:val="00713B16"/>
    <w:rsid w:val="007141B1"/>
    <w:rsid w:val="0071464A"/>
    <w:rsid w:val="00715EE7"/>
    <w:rsid w:val="00717E6B"/>
    <w:rsid w:val="00717E8E"/>
    <w:rsid w:val="00721143"/>
    <w:rsid w:val="00722825"/>
    <w:rsid w:val="00722A82"/>
    <w:rsid w:val="0072362B"/>
    <w:rsid w:val="00723F7F"/>
    <w:rsid w:val="00725D38"/>
    <w:rsid w:val="007269A2"/>
    <w:rsid w:val="00726A85"/>
    <w:rsid w:val="0072714E"/>
    <w:rsid w:val="007302E9"/>
    <w:rsid w:val="00730A7E"/>
    <w:rsid w:val="00732F2C"/>
    <w:rsid w:val="00733B41"/>
    <w:rsid w:val="007349BF"/>
    <w:rsid w:val="0073526D"/>
    <w:rsid w:val="0073544B"/>
    <w:rsid w:val="007359E3"/>
    <w:rsid w:val="00735B78"/>
    <w:rsid w:val="00736147"/>
    <w:rsid w:val="00736AA7"/>
    <w:rsid w:val="00736CE3"/>
    <w:rsid w:val="00736E5D"/>
    <w:rsid w:val="0073753E"/>
    <w:rsid w:val="00737C13"/>
    <w:rsid w:val="00741B73"/>
    <w:rsid w:val="007427EA"/>
    <w:rsid w:val="00742A49"/>
    <w:rsid w:val="00743AD2"/>
    <w:rsid w:val="00744FA4"/>
    <w:rsid w:val="0074653E"/>
    <w:rsid w:val="00746588"/>
    <w:rsid w:val="0075245D"/>
    <w:rsid w:val="00752514"/>
    <w:rsid w:val="00752657"/>
    <w:rsid w:val="007533F2"/>
    <w:rsid w:val="00753D2C"/>
    <w:rsid w:val="0075435B"/>
    <w:rsid w:val="0075495B"/>
    <w:rsid w:val="00755517"/>
    <w:rsid w:val="00755E88"/>
    <w:rsid w:val="00757199"/>
    <w:rsid w:val="0076076B"/>
    <w:rsid w:val="007609F9"/>
    <w:rsid w:val="00761FB6"/>
    <w:rsid w:val="00763040"/>
    <w:rsid w:val="0076505B"/>
    <w:rsid w:val="0076639F"/>
    <w:rsid w:val="00770418"/>
    <w:rsid w:val="00772F87"/>
    <w:rsid w:val="0077491A"/>
    <w:rsid w:val="00774FF2"/>
    <w:rsid w:val="007806EC"/>
    <w:rsid w:val="00781200"/>
    <w:rsid w:val="00781647"/>
    <w:rsid w:val="0078354E"/>
    <w:rsid w:val="00783D9A"/>
    <w:rsid w:val="007846A0"/>
    <w:rsid w:val="00784925"/>
    <w:rsid w:val="007849C8"/>
    <w:rsid w:val="00784AC9"/>
    <w:rsid w:val="00784EE3"/>
    <w:rsid w:val="00785533"/>
    <w:rsid w:val="007857A0"/>
    <w:rsid w:val="007864DB"/>
    <w:rsid w:val="007902B9"/>
    <w:rsid w:val="0079104B"/>
    <w:rsid w:val="0079147E"/>
    <w:rsid w:val="007919F4"/>
    <w:rsid w:val="00791AC6"/>
    <w:rsid w:val="0079337B"/>
    <w:rsid w:val="00793EEF"/>
    <w:rsid w:val="0079483C"/>
    <w:rsid w:val="0079492F"/>
    <w:rsid w:val="007956BB"/>
    <w:rsid w:val="00796668"/>
    <w:rsid w:val="007A16EE"/>
    <w:rsid w:val="007A1FB5"/>
    <w:rsid w:val="007A254F"/>
    <w:rsid w:val="007A4271"/>
    <w:rsid w:val="007A665D"/>
    <w:rsid w:val="007A6831"/>
    <w:rsid w:val="007A72BC"/>
    <w:rsid w:val="007A7F6B"/>
    <w:rsid w:val="007B0C9E"/>
    <w:rsid w:val="007B1389"/>
    <w:rsid w:val="007B1927"/>
    <w:rsid w:val="007B1F22"/>
    <w:rsid w:val="007B227B"/>
    <w:rsid w:val="007B3FF6"/>
    <w:rsid w:val="007B45C9"/>
    <w:rsid w:val="007B53E5"/>
    <w:rsid w:val="007B5424"/>
    <w:rsid w:val="007B5AA0"/>
    <w:rsid w:val="007B6CFA"/>
    <w:rsid w:val="007B6F40"/>
    <w:rsid w:val="007B73B5"/>
    <w:rsid w:val="007B7FDC"/>
    <w:rsid w:val="007C0AF3"/>
    <w:rsid w:val="007C12B0"/>
    <w:rsid w:val="007C2014"/>
    <w:rsid w:val="007C2ACF"/>
    <w:rsid w:val="007C3996"/>
    <w:rsid w:val="007C4969"/>
    <w:rsid w:val="007C5BC3"/>
    <w:rsid w:val="007C6141"/>
    <w:rsid w:val="007C69A9"/>
    <w:rsid w:val="007C7101"/>
    <w:rsid w:val="007D0280"/>
    <w:rsid w:val="007D1197"/>
    <w:rsid w:val="007D1F5D"/>
    <w:rsid w:val="007D2C16"/>
    <w:rsid w:val="007D31BE"/>
    <w:rsid w:val="007D3ACC"/>
    <w:rsid w:val="007D6290"/>
    <w:rsid w:val="007D65E9"/>
    <w:rsid w:val="007D6893"/>
    <w:rsid w:val="007D6CA7"/>
    <w:rsid w:val="007D7188"/>
    <w:rsid w:val="007E0455"/>
    <w:rsid w:val="007E05DD"/>
    <w:rsid w:val="007E12F8"/>
    <w:rsid w:val="007E1307"/>
    <w:rsid w:val="007E2B5A"/>
    <w:rsid w:val="007E2F31"/>
    <w:rsid w:val="007E565A"/>
    <w:rsid w:val="007E6048"/>
    <w:rsid w:val="007E6BDB"/>
    <w:rsid w:val="007E70FD"/>
    <w:rsid w:val="007E7D5C"/>
    <w:rsid w:val="007E7E0A"/>
    <w:rsid w:val="007F0146"/>
    <w:rsid w:val="007F06D1"/>
    <w:rsid w:val="007F0DF1"/>
    <w:rsid w:val="007F11BD"/>
    <w:rsid w:val="007F1E05"/>
    <w:rsid w:val="007F2075"/>
    <w:rsid w:val="007F5CBB"/>
    <w:rsid w:val="007F5D44"/>
    <w:rsid w:val="007F6055"/>
    <w:rsid w:val="007F6100"/>
    <w:rsid w:val="007F6DA2"/>
    <w:rsid w:val="007F7227"/>
    <w:rsid w:val="007F7D11"/>
    <w:rsid w:val="0080123B"/>
    <w:rsid w:val="00801BD8"/>
    <w:rsid w:val="00801F72"/>
    <w:rsid w:val="00802FE9"/>
    <w:rsid w:val="00803077"/>
    <w:rsid w:val="00803EE6"/>
    <w:rsid w:val="00804F4C"/>
    <w:rsid w:val="00805670"/>
    <w:rsid w:val="00806892"/>
    <w:rsid w:val="00806BED"/>
    <w:rsid w:val="0080775E"/>
    <w:rsid w:val="00810081"/>
    <w:rsid w:val="00810083"/>
    <w:rsid w:val="0081020D"/>
    <w:rsid w:val="008112FD"/>
    <w:rsid w:val="008113E7"/>
    <w:rsid w:val="00812F63"/>
    <w:rsid w:val="00813B70"/>
    <w:rsid w:val="00813FCA"/>
    <w:rsid w:val="00814C05"/>
    <w:rsid w:val="00815A34"/>
    <w:rsid w:val="00817469"/>
    <w:rsid w:val="0081778A"/>
    <w:rsid w:val="00817F60"/>
    <w:rsid w:val="008204AF"/>
    <w:rsid w:val="00823AB0"/>
    <w:rsid w:val="00824E66"/>
    <w:rsid w:val="008250B4"/>
    <w:rsid w:val="00825A60"/>
    <w:rsid w:val="00827118"/>
    <w:rsid w:val="0082751B"/>
    <w:rsid w:val="00827BE7"/>
    <w:rsid w:val="00827C9D"/>
    <w:rsid w:val="0083018D"/>
    <w:rsid w:val="0083189C"/>
    <w:rsid w:val="00831F3E"/>
    <w:rsid w:val="00833659"/>
    <w:rsid w:val="00833D9E"/>
    <w:rsid w:val="00833DD1"/>
    <w:rsid w:val="00834309"/>
    <w:rsid w:val="00835C32"/>
    <w:rsid w:val="008371B5"/>
    <w:rsid w:val="00840A8B"/>
    <w:rsid w:val="0084191D"/>
    <w:rsid w:val="00841BC4"/>
    <w:rsid w:val="008457EF"/>
    <w:rsid w:val="008500E8"/>
    <w:rsid w:val="0085029B"/>
    <w:rsid w:val="008502AE"/>
    <w:rsid w:val="0085039C"/>
    <w:rsid w:val="0085096F"/>
    <w:rsid w:val="00852574"/>
    <w:rsid w:val="00854A0E"/>
    <w:rsid w:val="00854D3F"/>
    <w:rsid w:val="00855114"/>
    <w:rsid w:val="008551CF"/>
    <w:rsid w:val="0085554B"/>
    <w:rsid w:val="00855915"/>
    <w:rsid w:val="008567E7"/>
    <w:rsid w:val="00856E61"/>
    <w:rsid w:val="00857C30"/>
    <w:rsid w:val="008600D3"/>
    <w:rsid w:val="00860F3D"/>
    <w:rsid w:val="00861EC9"/>
    <w:rsid w:val="0086236C"/>
    <w:rsid w:val="00862C99"/>
    <w:rsid w:val="0086315F"/>
    <w:rsid w:val="00865032"/>
    <w:rsid w:val="00865710"/>
    <w:rsid w:val="00865B94"/>
    <w:rsid w:val="0086632C"/>
    <w:rsid w:val="008663B6"/>
    <w:rsid w:val="008706DD"/>
    <w:rsid w:val="0087100E"/>
    <w:rsid w:val="00871D5C"/>
    <w:rsid w:val="008722F6"/>
    <w:rsid w:val="008734F1"/>
    <w:rsid w:val="008738DF"/>
    <w:rsid w:val="00873E88"/>
    <w:rsid w:val="008747B7"/>
    <w:rsid w:val="00874826"/>
    <w:rsid w:val="0087569A"/>
    <w:rsid w:val="008759D2"/>
    <w:rsid w:val="00875BA8"/>
    <w:rsid w:val="00876255"/>
    <w:rsid w:val="00876385"/>
    <w:rsid w:val="0087656D"/>
    <w:rsid w:val="008767F4"/>
    <w:rsid w:val="00877065"/>
    <w:rsid w:val="0087777C"/>
    <w:rsid w:val="00877C5C"/>
    <w:rsid w:val="00880512"/>
    <w:rsid w:val="00880D84"/>
    <w:rsid w:val="0088168A"/>
    <w:rsid w:val="008819DB"/>
    <w:rsid w:val="00881E7C"/>
    <w:rsid w:val="00883762"/>
    <w:rsid w:val="00883862"/>
    <w:rsid w:val="00883997"/>
    <w:rsid w:val="00884264"/>
    <w:rsid w:val="008845CA"/>
    <w:rsid w:val="008846F2"/>
    <w:rsid w:val="00885713"/>
    <w:rsid w:val="00885F00"/>
    <w:rsid w:val="0088628C"/>
    <w:rsid w:val="0089025A"/>
    <w:rsid w:val="00890DD0"/>
    <w:rsid w:val="008916CC"/>
    <w:rsid w:val="0089198D"/>
    <w:rsid w:val="00891C7B"/>
    <w:rsid w:val="008926DA"/>
    <w:rsid w:val="00892729"/>
    <w:rsid w:val="00894B0B"/>
    <w:rsid w:val="00894F14"/>
    <w:rsid w:val="0089582E"/>
    <w:rsid w:val="0089755B"/>
    <w:rsid w:val="008A0C91"/>
    <w:rsid w:val="008A1826"/>
    <w:rsid w:val="008A1877"/>
    <w:rsid w:val="008A2AEF"/>
    <w:rsid w:val="008A3800"/>
    <w:rsid w:val="008A39CD"/>
    <w:rsid w:val="008A43FC"/>
    <w:rsid w:val="008A5766"/>
    <w:rsid w:val="008A5D2A"/>
    <w:rsid w:val="008A64B7"/>
    <w:rsid w:val="008A6BB7"/>
    <w:rsid w:val="008A707B"/>
    <w:rsid w:val="008A74C2"/>
    <w:rsid w:val="008B0321"/>
    <w:rsid w:val="008B0F58"/>
    <w:rsid w:val="008B1001"/>
    <w:rsid w:val="008B169E"/>
    <w:rsid w:val="008B1A71"/>
    <w:rsid w:val="008B32A6"/>
    <w:rsid w:val="008B425E"/>
    <w:rsid w:val="008B5D36"/>
    <w:rsid w:val="008B6233"/>
    <w:rsid w:val="008B660E"/>
    <w:rsid w:val="008C09C0"/>
    <w:rsid w:val="008C116C"/>
    <w:rsid w:val="008C1D6D"/>
    <w:rsid w:val="008C24AD"/>
    <w:rsid w:val="008C28D1"/>
    <w:rsid w:val="008C5129"/>
    <w:rsid w:val="008C59F5"/>
    <w:rsid w:val="008C605C"/>
    <w:rsid w:val="008C6164"/>
    <w:rsid w:val="008C6A0F"/>
    <w:rsid w:val="008C7753"/>
    <w:rsid w:val="008D1B47"/>
    <w:rsid w:val="008D22B2"/>
    <w:rsid w:val="008D2566"/>
    <w:rsid w:val="008D33A3"/>
    <w:rsid w:val="008D361B"/>
    <w:rsid w:val="008D3DDA"/>
    <w:rsid w:val="008D40C5"/>
    <w:rsid w:val="008D46F3"/>
    <w:rsid w:val="008D4E0E"/>
    <w:rsid w:val="008D53F5"/>
    <w:rsid w:val="008D5DD7"/>
    <w:rsid w:val="008D614F"/>
    <w:rsid w:val="008D6568"/>
    <w:rsid w:val="008D7206"/>
    <w:rsid w:val="008D7871"/>
    <w:rsid w:val="008D7989"/>
    <w:rsid w:val="008D79A6"/>
    <w:rsid w:val="008D7AED"/>
    <w:rsid w:val="008E0FA4"/>
    <w:rsid w:val="008E1875"/>
    <w:rsid w:val="008E22E3"/>
    <w:rsid w:val="008E2416"/>
    <w:rsid w:val="008E2551"/>
    <w:rsid w:val="008E2A6E"/>
    <w:rsid w:val="008E2FC9"/>
    <w:rsid w:val="008E33F3"/>
    <w:rsid w:val="008E3973"/>
    <w:rsid w:val="008E39C2"/>
    <w:rsid w:val="008E4370"/>
    <w:rsid w:val="008E55DB"/>
    <w:rsid w:val="008E6B52"/>
    <w:rsid w:val="008E7789"/>
    <w:rsid w:val="008F0BFF"/>
    <w:rsid w:val="008F179C"/>
    <w:rsid w:val="008F26FB"/>
    <w:rsid w:val="008F31F6"/>
    <w:rsid w:val="008F3561"/>
    <w:rsid w:val="008F450D"/>
    <w:rsid w:val="008F4A3D"/>
    <w:rsid w:val="008F5563"/>
    <w:rsid w:val="008F55EB"/>
    <w:rsid w:val="008F5DFA"/>
    <w:rsid w:val="008F682A"/>
    <w:rsid w:val="008F6A70"/>
    <w:rsid w:val="008F7B91"/>
    <w:rsid w:val="00900B1A"/>
    <w:rsid w:val="0090103C"/>
    <w:rsid w:val="0090175B"/>
    <w:rsid w:val="0090233C"/>
    <w:rsid w:val="00902453"/>
    <w:rsid w:val="009024C6"/>
    <w:rsid w:val="0090260C"/>
    <w:rsid w:val="00903051"/>
    <w:rsid w:val="009030FC"/>
    <w:rsid w:val="00906281"/>
    <w:rsid w:val="009076CF"/>
    <w:rsid w:val="009100F7"/>
    <w:rsid w:val="009101FB"/>
    <w:rsid w:val="009102F5"/>
    <w:rsid w:val="009109A5"/>
    <w:rsid w:val="00910D89"/>
    <w:rsid w:val="00911580"/>
    <w:rsid w:val="009116A6"/>
    <w:rsid w:val="00911ED5"/>
    <w:rsid w:val="00914CF8"/>
    <w:rsid w:val="0091569F"/>
    <w:rsid w:val="00916E7B"/>
    <w:rsid w:val="009170C4"/>
    <w:rsid w:val="0091794C"/>
    <w:rsid w:val="009211F4"/>
    <w:rsid w:val="009217A7"/>
    <w:rsid w:val="00921F80"/>
    <w:rsid w:val="009223AD"/>
    <w:rsid w:val="00922E84"/>
    <w:rsid w:val="00925F55"/>
    <w:rsid w:val="00926371"/>
    <w:rsid w:val="009268FB"/>
    <w:rsid w:val="0092731D"/>
    <w:rsid w:val="009305CB"/>
    <w:rsid w:val="00930AE1"/>
    <w:rsid w:val="009316D0"/>
    <w:rsid w:val="00932899"/>
    <w:rsid w:val="00932CFF"/>
    <w:rsid w:val="00933BCF"/>
    <w:rsid w:val="00934060"/>
    <w:rsid w:val="00934AC9"/>
    <w:rsid w:val="00935E71"/>
    <w:rsid w:val="00936221"/>
    <w:rsid w:val="0093673C"/>
    <w:rsid w:val="009376B9"/>
    <w:rsid w:val="009379C8"/>
    <w:rsid w:val="009401F8"/>
    <w:rsid w:val="00940DE7"/>
    <w:rsid w:val="00942996"/>
    <w:rsid w:val="009433CF"/>
    <w:rsid w:val="00943BA7"/>
    <w:rsid w:val="00944C2C"/>
    <w:rsid w:val="009464DE"/>
    <w:rsid w:val="009467DF"/>
    <w:rsid w:val="00946B05"/>
    <w:rsid w:val="00947F77"/>
    <w:rsid w:val="00950C40"/>
    <w:rsid w:val="009527B7"/>
    <w:rsid w:val="00953318"/>
    <w:rsid w:val="00953773"/>
    <w:rsid w:val="00954BD3"/>
    <w:rsid w:val="0095543E"/>
    <w:rsid w:val="009557FF"/>
    <w:rsid w:val="00955BAD"/>
    <w:rsid w:val="00956568"/>
    <w:rsid w:val="00956F98"/>
    <w:rsid w:val="009572EA"/>
    <w:rsid w:val="00960D43"/>
    <w:rsid w:val="0096130B"/>
    <w:rsid w:val="00962CE6"/>
    <w:rsid w:val="00964B8B"/>
    <w:rsid w:val="009653B8"/>
    <w:rsid w:val="0096659B"/>
    <w:rsid w:val="0096690C"/>
    <w:rsid w:val="0097066E"/>
    <w:rsid w:val="00970C50"/>
    <w:rsid w:val="00972420"/>
    <w:rsid w:val="0097279C"/>
    <w:rsid w:val="00973C13"/>
    <w:rsid w:val="00974F7D"/>
    <w:rsid w:val="00976D41"/>
    <w:rsid w:val="00977292"/>
    <w:rsid w:val="009824F6"/>
    <w:rsid w:val="00982813"/>
    <w:rsid w:val="00984B08"/>
    <w:rsid w:val="00984ED9"/>
    <w:rsid w:val="0098520D"/>
    <w:rsid w:val="009878B2"/>
    <w:rsid w:val="00987B49"/>
    <w:rsid w:val="00987C36"/>
    <w:rsid w:val="00990209"/>
    <w:rsid w:val="009910B6"/>
    <w:rsid w:val="00991967"/>
    <w:rsid w:val="009930A4"/>
    <w:rsid w:val="009939DF"/>
    <w:rsid w:val="009939E7"/>
    <w:rsid w:val="009943A7"/>
    <w:rsid w:val="00995649"/>
    <w:rsid w:val="00997193"/>
    <w:rsid w:val="009975B2"/>
    <w:rsid w:val="009A0A63"/>
    <w:rsid w:val="009A106A"/>
    <w:rsid w:val="009A2440"/>
    <w:rsid w:val="009A2B9B"/>
    <w:rsid w:val="009A2DCC"/>
    <w:rsid w:val="009A3729"/>
    <w:rsid w:val="009A39FD"/>
    <w:rsid w:val="009A4166"/>
    <w:rsid w:val="009A47EC"/>
    <w:rsid w:val="009A5813"/>
    <w:rsid w:val="009A5F5B"/>
    <w:rsid w:val="009A68A6"/>
    <w:rsid w:val="009A6CB6"/>
    <w:rsid w:val="009B22A8"/>
    <w:rsid w:val="009B27ED"/>
    <w:rsid w:val="009B31DE"/>
    <w:rsid w:val="009B3EDE"/>
    <w:rsid w:val="009B4D25"/>
    <w:rsid w:val="009C10F9"/>
    <w:rsid w:val="009C1995"/>
    <w:rsid w:val="009C1EC3"/>
    <w:rsid w:val="009C4317"/>
    <w:rsid w:val="009C5678"/>
    <w:rsid w:val="009C5D0B"/>
    <w:rsid w:val="009C5D7F"/>
    <w:rsid w:val="009C6111"/>
    <w:rsid w:val="009C6465"/>
    <w:rsid w:val="009C6E18"/>
    <w:rsid w:val="009D1186"/>
    <w:rsid w:val="009D1464"/>
    <w:rsid w:val="009D18F2"/>
    <w:rsid w:val="009D1F3A"/>
    <w:rsid w:val="009D2C15"/>
    <w:rsid w:val="009D3F03"/>
    <w:rsid w:val="009D540A"/>
    <w:rsid w:val="009D5C37"/>
    <w:rsid w:val="009D6393"/>
    <w:rsid w:val="009D63B5"/>
    <w:rsid w:val="009D6FAD"/>
    <w:rsid w:val="009D70CF"/>
    <w:rsid w:val="009D71C6"/>
    <w:rsid w:val="009E3C55"/>
    <w:rsid w:val="009E46D0"/>
    <w:rsid w:val="009E5501"/>
    <w:rsid w:val="009E7133"/>
    <w:rsid w:val="009E760E"/>
    <w:rsid w:val="009E7860"/>
    <w:rsid w:val="009E7AC8"/>
    <w:rsid w:val="009F0A90"/>
    <w:rsid w:val="009F1484"/>
    <w:rsid w:val="009F17AC"/>
    <w:rsid w:val="009F21F3"/>
    <w:rsid w:val="009F2413"/>
    <w:rsid w:val="009F26E2"/>
    <w:rsid w:val="009F2D15"/>
    <w:rsid w:val="009F3441"/>
    <w:rsid w:val="009F3F3E"/>
    <w:rsid w:val="009F4254"/>
    <w:rsid w:val="009F4933"/>
    <w:rsid w:val="009F4E74"/>
    <w:rsid w:val="009F552B"/>
    <w:rsid w:val="009F5F5C"/>
    <w:rsid w:val="009F7200"/>
    <w:rsid w:val="009F7862"/>
    <w:rsid w:val="009F7A9C"/>
    <w:rsid w:val="00A0186B"/>
    <w:rsid w:val="00A03974"/>
    <w:rsid w:val="00A03B00"/>
    <w:rsid w:val="00A03B9B"/>
    <w:rsid w:val="00A03B9E"/>
    <w:rsid w:val="00A04B4D"/>
    <w:rsid w:val="00A04C93"/>
    <w:rsid w:val="00A055D4"/>
    <w:rsid w:val="00A0664E"/>
    <w:rsid w:val="00A072DA"/>
    <w:rsid w:val="00A1212C"/>
    <w:rsid w:val="00A133EB"/>
    <w:rsid w:val="00A1352F"/>
    <w:rsid w:val="00A14A1D"/>
    <w:rsid w:val="00A14B2E"/>
    <w:rsid w:val="00A158C9"/>
    <w:rsid w:val="00A15BF8"/>
    <w:rsid w:val="00A17E1B"/>
    <w:rsid w:val="00A21ABD"/>
    <w:rsid w:val="00A21E3A"/>
    <w:rsid w:val="00A235E5"/>
    <w:rsid w:val="00A244D6"/>
    <w:rsid w:val="00A25DD3"/>
    <w:rsid w:val="00A26FD9"/>
    <w:rsid w:val="00A3092C"/>
    <w:rsid w:val="00A336DF"/>
    <w:rsid w:val="00A34440"/>
    <w:rsid w:val="00A346A7"/>
    <w:rsid w:val="00A35A35"/>
    <w:rsid w:val="00A36C3C"/>
    <w:rsid w:val="00A4108D"/>
    <w:rsid w:val="00A41373"/>
    <w:rsid w:val="00A41DD8"/>
    <w:rsid w:val="00A429AF"/>
    <w:rsid w:val="00A42DC5"/>
    <w:rsid w:val="00A42EBE"/>
    <w:rsid w:val="00A430F3"/>
    <w:rsid w:val="00A43107"/>
    <w:rsid w:val="00A44B89"/>
    <w:rsid w:val="00A45CAC"/>
    <w:rsid w:val="00A46082"/>
    <w:rsid w:val="00A47DF1"/>
    <w:rsid w:val="00A5206C"/>
    <w:rsid w:val="00A53DA8"/>
    <w:rsid w:val="00A54433"/>
    <w:rsid w:val="00A547CB"/>
    <w:rsid w:val="00A556E8"/>
    <w:rsid w:val="00A55BFF"/>
    <w:rsid w:val="00A57D2F"/>
    <w:rsid w:val="00A60752"/>
    <w:rsid w:val="00A61222"/>
    <w:rsid w:val="00A61A89"/>
    <w:rsid w:val="00A61C2F"/>
    <w:rsid w:val="00A61D40"/>
    <w:rsid w:val="00A62447"/>
    <w:rsid w:val="00A62A92"/>
    <w:rsid w:val="00A63C8F"/>
    <w:rsid w:val="00A653BF"/>
    <w:rsid w:val="00A65D04"/>
    <w:rsid w:val="00A65F14"/>
    <w:rsid w:val="00A665CC"/>
    <w:rsid w:val="00A70B9D"/>
    <w:rsid w:val="00A72343"/>
    <w:rsid w:val="00A7254F"/>
    <w:rsid w:val="00A729F4"/>
    <w:rsid w:val="00A72B1D"/>
    <w:rsid w:val="00A73F2A"/>
    <w:rsid w:val="00A74964"/>
    <w:rsid w:val="00A75142"/>
    <w:rsid w:val="00A75630"/>
    <w:rsid w:val="00A768C4"/>
    <w:rsid w:val="00A778EA"/>
    <w:rsid w:val="00A8164F"/>
    <w:rsid w:val="00A81F20"/>
    <w:rsid w:val="00A82C87"/>
    <w:rsid w:val="00A83CD4"/>
    <w:rsid w:val="00A85690"/>
    <w:rsid w:val="00A8636F"/>
    <w:rsid w:val="00A86FE1"/>
    <w:rsid w:val="00A8721A"/>
    <w:rsid w:val="00A87CEB"/>
    <w:rsid w:val="00A87D5A"/>
    <w:rsid w:val="00A90795"/>
    <w:rsid w:val="00A91B0F"/>
    <w:rsid w:val="00A921FF"/>
    <w:rsid w:val="00A9225C"/>
    <w:rsid w:val="00A93275"/>
    <w:rsid w:val="00A9352E"/>
    <w:rsid w:val="00A95BC8"/>
    <w:rsid w:val="00A962A9"/>
    <w:rsid w:val="00A96382"/>
    <w:rsid w:val="00A96D6A"/>
    <w:rsid w:val="00A96E18"/>
    <w:rsid w:val="00AA0891"/>
    <w:rsid w:val="00AA15A3"/>
    <w:rsid w:val="00AA2D83"/>
    <w:rsid w:val="00AA38EE"/>
    <w:rsid w:val="00AA4584"/>
    <w:rsid w:val="00AA48E8"/>
    <w:rsid w:val="00AA4954"/>
    <w:rsid w:val="00AA54B9"/>
    <w:rsid w:val="00AA5759"/>
    <w:rsid w:val="00AA64BE"/>
    <w:rsid w:val="00AA6DE7"/>
    <w:rsid w:val="00AB00A7"/>
    <w:rsid w:val="00AB061B"/>
    <w:rsid w:val="00AB2BCC"/>
    <w:rsid w:val="00AB3C5F"/>
    <w:rsid w:val="00AB3F46"/>
    <w:rsid w:val="00AB45FB"/>
    <w:rsid w:val="00AB6D21"/>
    <w:rsid w:val="00AB6F9A"/>
    <w:rsid w:val="00AC0885"/>
    <w:rsid w:val="00AC0969"/>
    <w:rsid w:val="00AC0E92"/>
    <w:rsid w:val="00AC1117"/>
    <w:rsid w:val="00AC2DD0"/>
    <w:rsid w:val="00AC3082"/>
    <w:rsid w:val="00AC42DE"/>
    <w:rsid w:val="00AC5458"/>
    <w:rsid w:val="00AC596D"/>
    <w:rsid w:val="00AC6598"/>
    <w:rsid w:val="00AC68F3"/>
    <w:rsid w:val="00AD1151"/>
    <w:rsid w:val="00AD226E"/>
    <w:rsid w:val="00AD271F"/>
    <w:rsid w:val="00AD2BCA"/>
    <w:rsid w:val="00AD2FE0"/>
    <w:rsid w:val="00AD394E"/>
    <w:rsid w:val="00AD3A59"/>
    <w:rsid w:val="00AD7C9E"/>
    <w:rsid w:val="00AE0E42"/>
    <w:rsid w:val="00AE2291"/>
    <w:rsid w:val="00AE2B03"/>
    <w:rsid w:val="00AE2B57"/>
    <w:rsid w:val="00AE5186"/>
    <w:rsid w:val="00AE544B"/>
    <w:rsid w:val="00AE6568"/>
    <w:rsid w:val="00AE7B02"/>
    <w:rsid w:val="00AF18CB"/>
    <w:rsid w:val="00AF2895"/>
    <w:rsid w:val="00AF321B"/>
    <w:rsid w:val="00AF3686"/>
    <w:rsid w:val="00AF3EC1"/>
    <w:rsid w:val="00AF58D2"/>
    <w:rsid w:val="00AF6050"/>
    <w:rsid w:val="00AF70A6"/>
    <w:rsid w:val="00AF7A38"/>
    <w:rsid w:val="00B00476"/>
    <w:rsid w:val="00B01F25"/>
    <w:rsid w:val="00B02319"/>
    <w:rsid w:val="00B02931"/>
    <w:rsid w:val="00B0560C"/>
    <w:rsid w:val="00B05797"/>
    <w:rsid w:val="00B063F9"/>
    <w:rsid w:val="00B06C4F"/>
    <w:rsid w:val="00B07578"/>
    <w:rsid w:val="00B101FC"/>
    <w:rsid w:val="00B109D6"/>
    <w:rsid w:val="00B10CA8"/>
    <w:rsid w:val="00B118DF"/>
    <w:rsid w:val="00B133EA"/>
    <w:rsid w:val="00B1388E"/>
    <w:rsid w:val="00B139A8"/>
    <w:rsid w:val="00B147F1"/>
    <w:rsid w:val="00B1518D"/>
    <w:rsid w:val="00B16F2E"/>
    <w:rsid w:val="00B174B8"/>
    <w:rsid w:val="00B17CFC"/>
    <w:rsid w:val="00B206E9"/>
    <w:rsid w:val="00B225F8"/>
    <w:rsid w:val="00B22FFF"/>
    <w:rsid w:val="00B232B1"/>
    <w:rsid w:val="00B23FBE"/>
    <w:rsid w:val="00B25B03"/>
    <w:rsid w:val="00B25E22"/>
    <w:rsid w:val="00B273F1"/>
    <w:rsid w:val="00B275A9"/>
    <w:rsid w:val="00B3058E"/>
    <w:rsid w:val="00B30A33"/>
    <w:rsid w:val="00B332D7"/>
    <w:rsid w:val="00B33562"/>
    <w:rsid w:val="00B3372E"/>
    <w:rsid w:val="00B345BE"/>
    <w:rsid w:val="00B35103"/>
    <w:rsid w:val="00B35DDF"/>
    <w:rsid w:val="00B36082"/>
    <w:rsid w:val="00B362AB"/>
    <w:rsid w:val="00B3635B"/>
    <w:rsid w:val="00B363EE"/>
    <w:rsid w:val="00B36ABA"/>
    <w:rsid w:val="00B36D9A"/>
    <w:rsid w:val="00B36DDA"/>
    <w:rsid w:val="00B3700D"/>
    <w:rsid w:val="00B37192"/>
    <w:rsid w:val="00B40531"/>
    <w:rsid w:val="00B4140A"/>
    <w:rsid w:val="00B414D2"/>
    <w:rsid w:val="00B41B9B"/>
    <w:rsid w:val="00B42206"/>
    <w:rsid w:val="00B42783"/>
    <w:rsid w:val="00B43D3B"/>
    <w:rsid w:val="00B44A38"/>
    <w:rsid w:val="00B44DCB"/>
    <w:rsid w:val="00B47479"/>
    <w:rsid w:val="00B47D18"/>
    <w:rsid w:val="00B50BF7"/>
    <w:rsid w:val="00B53902"/>
    <w:rsid w:val="00B53FEF"/>
    <w:rsid w:val="00B543F5"/>
    <w:rsid w:val="00B55685"/>
    <w:rsid w:val="00B568E5"/>
    <w:rsid w:val="00B56BDC"/>
    <w:rsid w:val="00B56CFB"/>
    <w:rsid w:val="00B56FD2"/>
    <w:rsid w:val="00B610F8"/>
    <w:rsid w:val="00B61609"/>
    <w:rsid w:val="00B6568A"/>
    <w:rsid w:val="00B658A3"/>
    <w:rsid w:val="00B66407"/>
    <w:rsid w:val="00B67E6A"/>
    <w:rsid w:val="00B70711"/>
    <w:rsid w:val="00B70989"/>
    <w:rsid w:val="00B75AEE"/>
    <w:rsid w:val="00B75E01"/>
    <w:rsid w:val="00B76D78"/>
    <w:rsid w:val="00B77635"/>
    <w:rsid w:val="00B779FB"/>
    <w:rsid w:val="00B77E21"/>
    <w:rsid w:val="00B835AD"/>
    <w:rsid w:val="00B84627"/>
    <w:rsid w:val="00B8462B"/>
    <w:rsid w:val="00B85516"/>
    <w:rsid w:val="00B86592"/>
    <w:rsid w:val="00B879A6"/>
    <w:rsid w:val="00B9091C"/>
    <w:rsid w:val="00B90D3C"/>
    <w:rsid w:val="00B9220D"/>
    <w:rsid w:val="00B92734"/>
    <w:rsid w:val="00B927C4"/>
    <w:rsid w:val="00B92D56"/>
    <w:rsid w:val="00B93BE2"/>
    <w:rsid w:val="00B93D9E"/>
    <w:rsid w:val="00B94B99"/>
    <w:rsid w:val="00B9581C"/>
    <w:rsid w:val="00B96858"/>
    <w:rsid w:val="00B96C27"/>
    <w:rsid w:val="00B96CFC"/>
    <w:rsid w:val="00BA08E5"/>
    <w:rsid w:val="00BA09E7"/>
    <w:rsid w:val="00BA2831"/>
    <w:rsid w:val="00BA3498"/>
    <w:rsid w:val="00BA5392"/>
    <w:rsid w:val="00BA5CE8"/>
    <w:rsid w:val="00BA5DCF"/>
    <w:rsid w:val="00BA5DF1"/>
    <w:rsid w:val="00BA61C7"/>
    <w:rsid w:val="00BA6868"/>
    <w:rsid w:val="00BA790B"/>
    <w:rsid w:val="00BB05D4"/>
    <w:rsid w:val="00BB0793"/>
    <w:rsid w:val="00BB0C8C"/>
    <w:rsid w:val="00BB1E14"/>
    <w:rsid w:val="00BB2B9F"/>
    <w:rsid w:val="00BB2C3D"/>
    <w:rsid w:val="00BB2E89"/>
    <w:rsid w:val="00BB34F3"/>
    <w:rsid w:val="00BB5175"/>
    <w:rsid w:val="00BB65BC"/>
    <w:rsid w:val="00BB666D"/>
    <w:rsid w:val="00BB7031"/>
    <w:rsid w:val="00BB7DF2"/>
    <w:rsid w:val="00BB7E1D"/>
    <w:rsid w:val="00BC010C"/>
    <w:rsid w:val="00BC0742"/>
    <w:rsid w:val="00BC18F0"/>
    <w:rsid w:val="00BC496D"/>
    <w:rsid w:val="00BC4DD5"/>
    <w:rsid w:val="00BC58FF"/>
    <w:rsid w:val="00BC6021"/>
    <w:rsid w:val="00BC65A6"/>
    <w:rsid w:val="00BC673E"/>
    <w:rsid w:val="00BC72ED"/>
    <w:rsid w:val="00BD065E"/>
    <w:rsid w:val="00BD09DF"/>
    <w:rsid w:val="00BD0ED5"/>
    <w:rsid w:val="00BD1CF4"/>
    <w:rsid w:val="00BD1F8E"/>
    <w:rsid w:val="00BD3268"/>
    <w:rsid w:val="00BD4207"/>
    <w:rsid w:val="00BD5738"/>
    <w:rsid w:val="00BD5B25"/>
    <w:rsid w:val="00BD68EB"/>
    <w:rsid w:val="00BD6E27"/>
    <w:rsid w:val="00BD7B3E"/>
    <w:rsid w:val="00BE0861"/>
    <w:rsid w:val="00BE0F00"/>
    <w:rsid w:val="00BE1BAB"/>
    <w:rsid w:val="00BE2CC1"/>
    <w:rsid w:val="00BE3516"/>
    <w:rsid w:val="00BE486F"/>
    <w:rsid w:val="00BE5F86"/>
    <w:rsid w:val="00BE6794"/>
    <w:rsid w:val="00BE70C8"/>
    <w:rsid w:val="00BE76D6"/>
    <w:rsid w:val="00BF042D"/>
    <w:rsid w:val="00BF1FF3"/>
    <w:rsid w:val="00BF3820"/>
    <w:rsid w:val="00BF3D07"/>
    <w:rsid w:val="00BF5FD4"/>
    <w:rsid w:val="00BF67EE"/>
    <w:rsid w:val="00BF68AF"/>
    <w:rsid w:val="00BF722D"/>
    <w:rsid w:val="00C00EEE"/>
    <w:rsid w:val="00C011A4"/>
    <w:rsid w:val="00C01ACE"/>
    <w:rsid w:val="00C02270"/>
    <w:rsid w:val="00C02509"/>
    <w:rsid w:val="00C027C6"/>
    <w:rsid w:val="00C03019"/>
    <w:rsid w:val="00C03654"/>
    <w:rsid w:val="00C04C8E"/>
    <w:rsid w:val="00C04CBC"/>
    <w:rsid w:val="00C05B7F"/>
    <w:rsid w:val="00C05C13"/>
    <w:rsid w:val="00C072EA"/>
    <w:rsid w:val="00C07468"/>
    <w:rsid w:val="00C076D6"/>
    <w:rsid w:val="00C10109"/>
    <w:rsid w:val="00C102BF"/>
    <w:rsid w:val="00C12C14"/>
    <w:rsid w:val="00C13433"/>
    <w:rsid w:val="00C13F8C"/>
    <w:rsid w:val="00C150DB"/>
    <w:rsid w:val="00C16279"/>
    <w:rsid w:val="00C163ED"/>
    <w:rsid w:val="00C173D2"/>
    <w:rsid w:val="00C176B8"/>
    <w:rsid w:val="00C1786C"/>
    <w:rsid w:val="00C17964"/>
    <w:rsid w:val="00C207B2"/>
    <w:rsid w:val="00C21A3B"/>
    <w:rsid w:val="00C21C0F"/>
    <w:rsid w:val="00C21C81"/>
    <w:rsid w:val="00C22698"/>
    <w:rsid w:val="00C22B1D"/>
    <w:rsid w:val="00C23BEC"/>
    <w:rsid w:val="00C241EA"/>
    <w:rsid w:val="00C242B7"/>
    <w:rsid w:val="00C242DF"/>
    <w:rsid w:val="00C24365"/>
    <w:rsid w:val="00C2638E"/>
    <w:rsid w:val="00C31113"/>
    <w:rsid w:val="00C32F90"/>
    <w:rsid w:val="00C3348B"/>
    <w:rsid w:val="00C3497F"/>
    <w:rsid w:val="00C349DD"/>
    <w:rsid w:val="00C34B43"/>
    <w:rsid w:val="00C350E7"/>
    <w:rsid w:val="00C3524C"/>
    <w:rsid w:val="00C3611B"/>
    <w:rsid w:val="00C36165"/>
    <w:rsid w:val="00C40E26"/>
    <w:rsid w:val="00C40F51"/>
    <w:rsid w:val="00C41BF1"/>
    <w:rsid w:val="00C4251C"/>
    <w:rsid w:val="00C449CE"/>
    <w:rsid w:val="00C50004"/>
    <w:rsid w:val="00C52D08"/>
    <w:rsid w:val="00C52D7F"/>
    <w:rsid w:val="00C540F0"/>
    <w:rsid w:val="00C54A7A"/>
    <w:rsid w:val="00C54F40"/>
    <w:rsid w:val="00C5734E"/>
    <w:rsid w:val="00C60C4C"/>
    <w:rsid w:val="00C614D8"/>
    <w:rsid w:val="00C61C9C"/>
    <w:rsid w:val="00C62850"/>
    <w:rsid w:val="00C634BB"/>
    <w:rsid w:val="00C643FB"/>
    <w:rsid w:val="00C657E2"/>
    <w:rsid w:val="00C65DD5"/>
    <w:rsid w:val="00C661C1"/>
    <w:rsid w:val="00C670DE"/>
    <w:rsid w:val="00C67AD8"/>
    <w:rsid w:val="00C70AEA"/>
    <w:rsid w:val="00C73993"/>
    <w:rsid w:val="00C73B8D"/>
    <w:rsid w:val="00C7469B"/>
    <w:rsid w:val="00C749E0"/>
    <w:rsid w:val="00C75E57"/>
    <w:rsid w:val="00C76D4C"/>
    <w:rsid w:val="00C775CD"/>
    <w:rsid w:val="00C77B4B"/>
    <w:rsid w:val="00C77E51"/>
    <w:rsid w:val="00C77FE3"/>
    <w:rsid w:val="00C800B6"/>
    <w:rsid w:val="00C81D8A"/>
    <w:rsid w:val="00C82C33"/>
    <w:rsid w:val="00C8373A"/>
    <w:rsid w:val="00C86690"/>
    <w:rsid w:val="00C86E57"/>
    <w:rsid w:val="00C8724F"/>
    <w:rsid w:val="00C87A5F"/>
    <w:rsid w:val="00C908A5"/>
    <w:rsid w:val="00C90A3A"/>
    <w:rsid w:val="00C917ED"/>
    <w:rsid w:val="00C9306F"/>
    <w:rsid w:val="00C9340B"/>
    <w:rsid w:val="00C937E7"/>
    <w:rsid w:val="00C9435B"/>
    <w:rsid w:val="00C94A6A"/>
    <w:rsid w:val="00C94BA0"/>
    <w:rsid w:val="00C94E19"/>
    <w:rsid w:val="00C96EBA"/>
    <w:rsid w:val="00C96F1C"/>
    <w:rsid w:val="00C97182"/>
    <w:rsid w:val="00C97ABF"/>
    <w:rsid w:val="00CA02E5"/>
    <w:rsid w:val="00CA179C"/>
    <w:rsid w:val="00CA2241"/>
    <w:rsid w:val="00CA27C8"/>
    <w:rsid w:val="00CA2E71"/>
    <w:rsid w:val="00CA31CE"/>
    <w:rsid w:val="00CA31FF"/>
    <w:rsid w:val="00CA396D"/>
    <w:rsid w:val="00CA449C"/>
    <w:rsid w:val="00CA4796"/>
    <w:rsid w:val="00CA4F15"/>
    <w:rsid w:val="00CA5657"/>
    <w:rsid w:val="00CA68DA"/>
    <w:rsid w:val="00CA74E8"/>
    <w:rsid w:val="00CB119A"/>
    <w:rsid w:val="00CB1341"/>
    <w:rsid w:val="00CB191D"/>
    <w:rsid w:val="00CB3454"/>
    <w:rsid w:val="00CB4D2C"/>
    <w:rsid w:val="00CB6A8D"/>
    <w:rsid w:val="00CB7FED"/>
    <w:rsid w:val="00CC1B2D"/>
    <w:rsid w:val="00CC1F22"/>
    <w:rsid w:val="00CC20BC"/>
    <w:rsid w:val="00CC34E1"/>
    <w:rsid w:val="00CC3C26"/>
    <w:rsid w:val="00CC4783"/>
    <w:rsid w:val="00CC5089"/>
    <w:rsid w:val="00CC61BE"/>
    <w:rsid w:val="00CD202E"/>
    <w:rsid w:val="00CD30D1"/>
    <w:rsid w:val="00CD3315"/>
    <w:rsid w:val="00CD3533"/>
    <w:rsid w:val="00CD3D8E"/>
    <w:rsid w:val="00CD4265"/>
    <w:rsid w:val="00CD4898"/>
    <w:rsid w:val="00CD4986"/>
    <w:rsid w:val="00CD4A45"/>
    <w:rsid w:val="00CD536A"/>
    <w:rsid w:val="00CD5911"/>
    <w:rsid w:val="00CD5F9B"/>
    <w:rsid w:val="00CE341B"/>
    <w:rsid w:val="00CE361F"/>
    <w:rsid w:val="00CE36A9"/>
    <w:rsid w:val="00CE39C8"/>
    <w:rsid w:val="00CE401E"/>
    <w:rsid w:val="00CE544A"/>
    <w:rsid w:val="00CE56F4"/>
    <w:rsid w:val="00CF1399"/>
    <w:rsid w:val="00CF174B"/>
    <w:rsid w:val="00CF17F9"/>
    <w:rsid w:val="00CF3117"/>
    <w:rsid w:val="00CF4281"/>
    <w:rsid w:val="00CF54E2"/>
    <w:rsid w:val="00CF5897"/>
    <w:rsid w:val="00CF5F30"/>
    <w:rsid w:val="00CF61CC"/>
    <w:rsid w:val="00CF62B9"/>
    <w:rsid w:val="00CF6458"/>
    <w:rsid w:val="00CF6A7C"/>
    <w:rsid w:val="00CF734B"/>
    <w:rsid w:val="00D00288"/>
    <w:rsid w:val="00D00413"/>
    <w:rsid w:val="00D00461"/>
    <w:rsid w:val="00D006FB"/>
    <w:rsid w:val="00D014EB"/>
    <w:rsid w:val="00D041A1"/>
    <w:rsid w:val="00D055E9"/>
    <w:rsid w:val="00D0563C"/>
    <w:rsid w:val="00D06A09"/>
    <w:rsid w:val="00D100E4"/>
    <w:rsid w:val="00D1074E"/>
    <w:rsid w:val="00D109EA"/>
    <w:rsid w:val="00D1187D"/>
    <w:rsid w:val="00D13664"/>
    <w:rsid w:val="00D13B6B"/>
    <w:rsid w:val="00D14139"/>
    <w:rsid w:val="00D17821"/>
    <w:rsid w:val="00D2048D"/>
    <w:rsid w:val="00D21FEE"/>
    <w:rsid w:val="00D226DB"/>
    <w:rsid w:val="00D22CA5"/>
    <w:rsid w:val="00D25603"/>
    <w:rsid w:val="00D257E3"/>
    <w:rsid w:val="00D25DA3"/>
    <w:rsid w:val="00D2755B"/>
    <w:rsid w:val="00D27A08"/>
    <w:rsid w:val="00D27EEA"/>
    <w:rsid w:val="00D30770"/>
    <w:rsid w:val="00D307AD"/>
    <w:rsid w:val="00D30990"/>
    <w:rsid w:val="00D32D15"/>
    <w:rsid w:val="00D330DA"/>
    <w:rsid w:val="00D343A6"/>
    <w:rsid w:val="00D345E7"/>
    <w:rsid w:val="00D36793"/>
    <w:rsid w:val="00D405B8"/>
    <w:rsid w:val="00D40FB8"/>
    <w:rsid w:val="00D410AA"/>
    <w:rsid w:val="00D41CB3"/>
    <w:rsid w:val="00D41E3F"/>
    <w:rsid w:val="00D41F4B"/>
    <w:rsid w:val="00D47444"/>
    <w:rsid w:val="00D505CB"/>
    <w:rsid w:val="00D5090B"/>
    <w:rsid w:val="00D509D9"/>
    <w:rsid w:val="00D50B02"/>
    <w:rsid w:val="00D50D86"/>
    <w:rsid w:val="00D5257C"/>
    <w:rsid w:val="00D52848"/>
    <w:rsid w:val="00D546E3"/>
    <w:rsid w:val="00D54DFB"/>
    <w:rsid w:val="00D5599F"/>
    <w:rsid w:val="00D56E6B"/>
    <w:rsid w:val="00D574DA"/>
    <w:rsid w:val="00D577F9"/>
    <w:rsid w:val="00D6043E"/>
    <w:rsid w:val="00D61691"/>
    <w:rsid w:val="00D63A12"/>
    <w:rsid w:val="00D63C16"/>
    <w:rsid w:val="00D6454C"/>
    <w:rsid w:val="00D66125"/>
    <w:rsid w:val="00D664FB"/>
    <w:rsid w:val="00D66F66"/>
    <w:rsid w:val="00D73EEA"/>
    <w:rsid w:val="00D7487C"/>
    <w:rsid w:val="00D8097A"/>
    <w:rsid w:val="00D82180"/>
    <w:rsid w:val="00D824B4"/>
    <w:rsid w:val="00D83771"/>
    <w:rsid w:val="00D838D9"/>
    <w:rsid w:val="00D83CFC"/>
    <w:rsid w:val="00D85A51"/>
    <w:rsid w:val="00D85D1B"/>
    <w:rsid w:val="00D85F85"/>
    <w:rsid w:val="00D8738E"/>
    <w:rsid w:val="00D87F40"/>
    <w:rsid w:val="00D90496"/>
    <w:rsid w:val="00D9185C"/>
    <w:rsid w:val="00D922C7"/>
    <w:rsid w:val="00D9260B"/>
    <w:rsid w:val="00D92BFC"/>
    <w:rsid w:val="00D9459D"/>
    <w:rsid w:val="00D94785"/>
    <w:rsid w:val="00D9514F"/>
    <w:rsid w:val="00D955C2"/>
    <w:rsid w:val="00D95829"/>
    <w:rsid w:val="00D95CDE"/>
    <w:rsid w:val="00D9716D"/>
    <w:rsid w:val="00DA0CBC"/>
    <w:rsid w:val="00DA1852"/>
    <w:rsid w:val="00DA27DC"/>
    <w:rsid w:val="00DA28D4"/>
    <w:rsid w:val="00DA29E4"/>
    <w:rsid w:val="00DA3F46"/>
    <w:rsid w:val="00DA4136"/>
    <w:rsid w:val="00DA4DDD"/>
    <w:rsid w:val="00DA5114"/>
    <w:rsid w:val="00DA5409"/>
    <w:rsid w:val="00DA5546"/>
    <w:rsid w:val="00DA6683"/>
    <w:rsid w:val="00DA66A2"/>
    <w:rsid w:val="00DA6B90"/>
    <w:rsid w:val="00DA6E02"/>
    <w:rsid w:val="00DB0BD3"/>
    <w:rsid w:val="00DB1444"/>
    <w:rsid w:val="00DB14E2"/>
    <w:rsid w:val="00DB1F51"/>
    <w:rsid w:val="00DB233A"/>
    <w:rsid w:val="00DB2353"/>
    <w:rsid w:val="00DB2656"/>
    <w:rsid w:val="00DB2C59"/>
    <w:rsid w:val="00DB2CA8"/>
    <w:rsid w:val="00DB37DC"/>
    <w:rsid w:val="00DB38EE"/>
    <w:rsid w:val="00DB3B25"/>
    <w:rsid w:val="00DB59E3"/>
    <w:rsid w:val="00DB5CD7"/>
    <w:rsid w:val="00DB63BE"/>
    <w:rsid w:val="00DB697B"/>
    <w:rsid w:val="00DB7045"/>
    <w:rsid w:val="00DB77B1"/>
    <w:rsid w:val="00DC04CE"/>
    <w:rsid w:val="00DC1A65"/>
    <w:rsid w:val="00DC25D9"/>
    <w:rsid w:val="00DC3264"/>
    <w:rsid w:val="00DC339E"/>
    <w:rsid w:val="00DC427A"/>
    <w:rsid w:val="00DC4508"/>
    <w:rsid w:val="00DC4605"/>
    <w:rsid w:val="00DC4AC0"/>
    <w:rsid w:val="00DC5733"/>
    <w:rsid w:val="00DC6AA6"/>
    <w:rsid w:val="00DC738E"/>
    <w:rsid w:val="00DC7448"/>
    <w:rsid w:val="00DD075F"/>
    <w:rsid w:val="00DD11A3"/>
    <w:rsid w:val="00DD1266"/>
    <w:rsid w:val="00DD1A86"/>
    <w:rsid w:val="00DD2732"/>
    <w:rsid w:val="00DD45F0"/>
    <w:rsid w:val="00DD5B4B"/>
    <w:rsid w:val="00DD5C45"/>
    <w:rsid w:val="00DD6194"/>
    <w:rsid w:val="00DD7128"/>
    <w:rsid w:val="00DD73EE"/>
    <w:rsid w:val="00DD7B73"/>
    <w:rsid w:val="00DD7F26"/>
    <w:rsid w:val="00DE0594"/>
    <w:rsid w:val="00DE0B80"/>
    <w:rsid w:val="00DE14D9"/>
    <w:rsid w:val="00DE1B75"/>
    <w:rsid w:val="00DE2B86"/>
    <w:rsid w:val="00DE33BC"/>
    <w:rsid w:val="00DE3AB7"/>
    <w:rsid w:val="00DE43B6"/>
    <w:rsid w:val="00DE4487"/>
    <w:rsid w:val="00DE4546"/>
    <w:rsid w:val="00DE4D61"/>
    <w:rsid w:val="00DE5C41"/>
    <w:rsid w:val="00DE7432"/>
    <w:rsid w:val="00DF012F"/>
    <w:rsid w:val="00DF0AA5"/>
    <w:rsid w:val="00DF0FEC"/>
    <w:rsid w:val="00DF151A"/>
    <w:rsid w:val="00DF377D"/>
    <w:rsid w:val="00DF3F03"/>
    <w:rsid w:val="00DF41C3"/>
    <w:rsid w:val="00DF44E5"/>
    <w:rsid w:val="00DF55E4"/>
    <w:rsid w:val="00DF5A75"/>
    <w:rsid w:val="00DF61AF"/>
    <w:rsid w:val="00DF661F"/>
    <w:rsid w:val="00DF6CC3"/>
    <w:rsid w:val="00DF708F"/>
    <w:rsid w:val="00DF7119"/>
    <w:rsid w:val="00DF72F9"/>
    <w:rsid w:val="00E00369"/>
    <w:rsid w:val="00E0299A"/>
    <w:rsid w:val="00E02A67"/>
    <w:rsid w:val="00E03758"/>
    <w:rsid w:val="00E03BE7"/>
    <w:rsid w:val="00E04B92"/>
    <w:rsid w:val="00E05564"/>
    <w:rsid w:val="00E05B7A"/>
    <w:rsid w:val="00E05D00"/>
    <w:rsid w:val="00E10BA1"/>
    <w:rsid w:val="00E125FD"/>
    <w:rsid w:val="00E12D6A"/>
    <w:rsid w:val="00E169DB"/>
    <w:rsid w:val="00E17169"/>
    <w:rsid w:val="00E1756B"/>
    <w:rsid w:val="00E17956"/>
    <w:rsid w:val="00E17C1D"/>
    <w:rsid w:val="00E216E0"/>
    <w:rsid w:val="00E22133"/>
    <w:rsid w:val="00E240D3"/>
    <w:rsid w:val="00E247C5"/>
    <w:rsid w:val="00E24EFF"/>
    <w:rsid w:val="00E253AA"/>
    <w:rsid w:val="00E257AC"/>
    <w:rsid w:val="00E25FC4"/>
    <w:rsid w:val="00E262B1"/>
    <w:rsid w:val="00E26F5B"/>
    <w:rsid w:val="00E3003C"/>
    <w:rsid w:val="00E3051E"/>
    <w:rsid w:val="00E327FF"/>
    <w:rsid w:val="00E329EC"/>
    <w:rsid w:val="00E32E6E"/>
    <w:rsid w:val="00E33D53"/>
    <w:rsid w:val="00E366AA"/>
    <w:rsid w:val="00E376B1"/>
    <w:rsid w:val="00E37DE2"/>
    <w:rsid w:val="00E40FFF"/>
    <w:rsid w:val="00E415F6"/>
    <w:rsid w:val="00E41E66"/>
    <w:rsid w:val="00E465AA"/>
    <w:rsid w:val="00E475AD"/>
    <w:rsid w:val="00E507C3"/>
    <w:rsid w:val="00E51316"/>
    <w:rsid w:val="00E5227E"/>
    <w:rsid w:val="00E544AA"/>
    <w:rsid w:val="00E546C4"/>
    <w:rsid w:val="00E54A45"/>
    <w:rsid w:val="00E551FD"/>
    <w:rsid w:val="00E56229"/>
    <w:rsid w:val="00E57037"/>
    <w:rsid w:val="00E5747B"/>
    <w:rsid w:val="00E60989"/>
    <w:rsid w:val="00E623F2"/>
    <w:rsid w:val="00E6340B"/>
    <w:rsid w:val="00E635AF"/>
    <w:rsid w:val="00E64732"/>
    <w:rsid w:val="00E65289"/>
    <w:rsid w:val="00E66078"/>
    <w:rsid w:val="00E6621D"/>
    <w:rsid w:val="00E725FD"/>
    <w:rsid w:val="00E72914"/>
    <w:rsid w:val="00E72967"/>
    <w:rsid w:val="00E72B98"/>
    <w:rsid w:val="00E7415B"/>
    <w:rsid w:val="00E744E7"/>
    <w:rsid w:val="00E75600"/>
    <w:rsid w:val="00E77378"/>
    <w:rsid w:val="00E773EF"/>
    <w:rsid w:val="00E81216"/>
    <w:rsid w:val="00E813F1"/>
    <w:rsid w:val="00E81E1E"/>
    <w:rsid w:val="00E81F0E"/>
    <w:rsid w:val="00E82277"/>
    <w:rsid w:val="00E82731"/>
    <w:rsid w:val="00E828AF"/>
    <w:rsid w:val="00E85530"/>
    <w:rsid w:val="00E901DC"/>
    <w:rsid w:val="00E9047A"/>
    <w:rsid w:val="00E9216A"/>
    <w:rsid w:val="00E92968"/>
    <w:rsid w:val="00E93325"/>
    <w:rsid w:val="00E93430"/>
    <w:rsid w:val="00E943C6"/>
    <w:rsid w:val="00E95CD3"/>
    <w:rsid w:val="00E9604C"/>
    <w:rsid w:val="00E9646E"/>
    <w:rsid w:val="00E964A7"/>
    <w:rsid w:val="00E96999"/>
    <w:rsid w:val="00EA03AE"/>
    <w:rsid w:val="00EA04BA"/>
    <w:rsid w:val="00EA19F1"/>
    <w:rsid w:val="00EA20E7"/>
    <w:rsid w:val="00EA2C11"/>
    <w:rsid w:val="00EA36D0"/>
    <w:rsid w:val="00EA3A5A"/>
    <w:rsid w:val="00EA52ED"/>
    <w:rsid w:val="00EA5ECA"/>
    <w:rsid w:val="00EA6FD7"/>
    <w:rsid w:val="00EA72B4"/>
    <w:rsid w:val="00EA79D5"/>
    <w:rsid w:val="00EA79FD"/>
    <w:rsid w:val="00EA7E62"/>
    <w:rsid w:val="00EB0993"/>
    <w:rsid w:val="00EB179D"/>
    <w:rsid w:val="00EB22E1"/>
    <w:rsid w:val="00EB25A9"/>
    <w:rsid w:val="00EB3333"/>
    <w:rsid w:val="00EB381E"/>
    <w:rsid w:val="00EB3B7F"/>
    <w:rsid w:val="00EB3BCC"/>
    <w:rsid w:val="00EB48B6"/>
    <w:rsid w:val="00EB499E"/>
    <w:rsid w:val="00EB5657"/>
    <w:rsid w:val="00EB657F"/>
    <w:rsid w:val="00EC0012"/>
    <w:rsid w:val="00EC10A8"/>
    <w:rsid w:val="00EC14A8"/>
    <w:rsid w:val="00EC2AA9"/>
    <w:rsid w:val="00EC3145"/>
    <w:rsid w:val="00EC43F6"/>
    <w:rsid w:val="00EC4F2F"/>
    <w:rsid w:val="00EC50E0"/>
    <w:rsid w:val="00EC53C5"/>
    <w:rsid w:val="00EC548D"/>
    <w:rsid w:val="00EC6818"/>
    <w:rsid w:val="00EC78EB"/>
    <w:rsid w:val="00ED0654"/>
    <w:rsid w:val="00ED10CD"/>
    <w:rsid w:val="00ED12E0"/>
    <w:rsid w:val="00ED1BED"/>
    <w:rsid w:val="00ED2616"/>
    <w:rsid w:val="00ED2A03"/>
    <w:rsid w:val="00ED30AA"/>
    <w:rsid w:val="00ED592C"/>
    <w:rsid w:val="00ED625E"/>
    <w:rsid w:val="00ED729A"/>
    <w:rsid w:val="00ED7CE7"/>
    <w:rsid w:val="00EE0170"/>
    <w:rsid w:val="00EE06C2"/>
    <w:rsid w:val="00EE1368"/>
    <w:rsid w:val="00EE3A80"/>
    <w:rsid w:val="00EE4136"/>
    <w:rsid w:val="00EE46EB"/>
    <w:rsid w:val="00EE481D"/>
    <w:rsid w:val="00EE4A9B"/>
    <w:rsid w:val="00EE561D"/>
    <w:rsid w:val="00EE5B51"/>
    <w:rsid w:val="00EE61C2"/>
    <w:rsid w:val="00EE68A1"/>
    <w:rsid w:val="00EE74A1"/>
    <w:rsid w:val="00EE74E4"/>
    <w:rsid w:val="00EE76F6"/>
    <w:rsid w:val="00EE7F8C"/>
    <w:rsid w:val="00EF0313"/>
    <w:rsid w:val="00EF10CA"/>
    <w:rsid w:val="00EF10D9"/>
    <w:rsid w:val="00EF34E5"/>
    <w:rsid w:val="00EF3800"/>
    <w:rsid w:val="00EF60B5"/>
    <w:rsid w:val="00EF6DCD"/>
    <w:rsid w:val="00EF7286"/>
    <w:rsid w:val="00F00D5A"/>
    <w:rsid w:val="00F01728"/>
    <w:rsid w:val="00F01C89"/>
    <w:rsid w:val="00F0210B"/>
    <w:rsid w:val="00F02E41"/>
    <w:rsid w:val="00F03246"/>
    <w:rsid w:val="00F03387"/>
    <w:rsid w:val="00F035F4"/>
    <w:rsid w:val="00F05BA7"/>
    <w:rsid w:val="00F0606B"/>
    <w:rsid w:val="00F07264"/>
    <w:rsid w:val="00F076E2"/>
    <w:rsid w:val="00F100B5"/>
    <w:rsid w:val="00F10209"/>
    <w:rsid w:val="00F125A3"/>
    <w:rsid w:val="00F13751"/>
    <w:rsid w:val="00F137F1"/>
    <w:rsid w:val="00F13A2A"/>
    <w:rsid w:val="00F15103"/>
    <w:rsid w:val="00F1533C"/>
    <w:rsid w:val="00F15AEF"/>
    <w:rsid w:val="00F173F3"/>
    <w:rsid w:val="00F178BB"/>
    <w:rsid w:val="00F178C3"/>
    <w:rsid w:val="00F20EB7"/>
    <w:rsid w:val="00F219AB"/>
    <w:rsid w:val="00F233C5"/>
    <w:rsid w:val="00F2385B"/>
    <w:rsid w:val="00F240E8"/>
    <w:rsid w:val="00F250E1"/>
    <w:rsid w:val="00F261A1"/>
    <w:rsid w:val="00F27443"/>
    <w:rsid w:val="00F27673"/>
    <w:rsid w:val="00F30B65"/>
    <w:rsid w:val="00F32CF3"/>
    <w:rsid w:val="00F33610"/>
    <w:rsid w:val="00F338DF"/>
    <w:rsid w:val="00F33939"/>
    <w:rsid w:val="00F34DD1"/>
    <w:rsid w:val="00F37AC0"/>
    <w:rsid w:val="00F40B74"/>
    <w:rsid w:val="00F40C90"/>
    <w:rsid w:val="00F4164A"/>
    <w:rsid w:val="00F41874"/>
    <w:rsid w:val="00F4327C"/>
    <w:rsid w:val="00F44DF9"/>
    <w:rsid w:val="00F45905"/>
    <w:rsid w:val="00F45CD8"/>
    <w:rsid w:val="00F46247"/>
    <w:rsid w:val="00F46EBF"/>
    <w:rsid w:val="00F46EF8"/>
    <w:rsid w:val="00F47427"/>
    <w:rsid w:val="00F47625"/>
    <w:rsid w:val="00F47BC8"/>
    <w:rsid w:val="00F5277F"/>
    <w:rsid w:val="00F52B2D"/>
    <w:rsid w:val="00F52D11"/>
    <w:rsid w:val="00F53049"/>
    <w:rsid w:val="00F546A7"/>
    <w:rsid w:val="00F547B0"/>
    <w:rsid w:val="00F55107"/>
    <w:rsid w:val="00F55E04"/>
    <w:rsid w:val="00F55FA0"/>
    <w:rsid w:val="00F5604C"/>
    <w:rsid w:val="00F571CD"/>
    <w:rsid w:val="00F60BEE"/>
    <w:rsid w:val="00F6296C"/>
    <w:rsid w:val="00F6463E"/>
    <w:rsid w:val="00F6486A"/>
    <w:rsid w:val="00F65FD3"/>
    <w:rsid w:val="00F66543"/>
    <w:rsid w:val="00F668C1"/>
    <w:rsid w:val="00F669A8"/>
    <w:rsid w:val="00F673BD"/>
    <w:rsid w:val="00F67736"/>
    <w:rsid w:val="00F67A31"/>
    <w:rsid w:val="00F70B19"/>
    <w:rsid w:val="00F72ABF"/>
    <w:rsid w:val="00F730B3"/>
    <w:rsid w:val="00F735AF"/>
    <w:rsid w:val="00F73F14"/>
    <w:rsid w:val="00F75607"/>
    <w:rsid w:val="00F75FAA"/>
    <w:rsid w:val="00F77AD9"/>
    <w:rsid w:val="00F849BB"/>
    <w:rsid w:val="00F84B74"/>
    <w:rsid w:val="00F87F05"/>
    <w:rsid w:val="00F906D8"/>
    <w:rsid w:val="00F90EAA"/>
    <w:rsid w:val="00F918A9"/>
    <w:rsid w:val="00F923B8"/>
    <w:rsid w:val="00F92FCF"/>
    <w:rsid w:val="00F9328D"/>
    <w:rsid w:val="00F9374A"/>
    <w:rsid w:val="00F93852"/>
    <w:rsid w:val="00F94CDF"/>
    <w:rsid w:val="00F956DB"/>
    <w:rsid w:val="00F957A6"/>
    <w:rsid w:val="00F967C8"/>
    <w:rsid w:val="00F96DEC"/>
    <w:rsid w:val="00F97046"/>
    <w:rsid w:val="00F97854"/>
    <w:rsid w:val="00FA0576"/>
    <w:rsid w:val="00FA0F7C"/>
    <w:rsid w:val="00FA1BFF"/>
    <w:rsid w:val="00FA1C1A"/>
    <w:rsid w:val="00FA314E"/>
    <w:rsid w:val="00FA3498"/>
    <w:rsid w:val="00FA55FB"/>
    <w:rsid w:val="00FA671C"/>
    <w:rsid w:val="00FA6CF9"/>
    <w:rsid w:val="00FA7DB2"/>
    <w:rsid w:val="00FB03B5"/>
    <w:rsid w:val="00FB0B2D"/>
    <w:rsid w:val="00FB1F75"/>
    <w:rsid w:val="00FB20DC"/>
    <w:rsid w:val="00FB26ED"/>
    <w:rsid w:val="00FB2948"/>
    <w:rsid w:val="00FB3575"/>
    <w:rsid w:val="00FB37AD"/>
    <w:rsid w:val="00FB4970"/>
    <w:rsid w:val="00FB4BE5"/>
    <w:rsid w:val="00FB4F4D"/>
    <w:rsid w:val="00FB5AC3"/>
    <w:rsid w:val="00FB5C11"/>
    <w:rsid w:val="00FB650D"/>
    <w:rsid w:val="00FB6521"/>
    <w:rsid w:val="00FB669A"/>
    <w:rsid w:val="00FC0034"/>
    <w:rsid w:val="00FC0BB8"/>
    <w:rsid w:val="00FC2682"/>
    <w:rsid w:val="00FC3A92"/>
    <w:rsid w:val="00FC3ECD"/>
    <w:rsid w:val="00FC42CE"/>
    <w:rsid w:val="00FC4727"/>
    <w:rsid w:val="00FC52DB"/>
    <w:rsid w:val="00FC5C6B"/>
    <w:rsid w:val="00FD0988"/>
    <w:rsid w:val="00FD0DF9"/>
    <w:rsid w:val="00FD1B0F"/>
    <w:rsid w:val="00FD1BA2"/>
    <w:rsid w:val="00FD4A9C"/>
    <w:rsid w:val="00FD58EF"/>
    <w:rsid w:val="00FE1348"/>
    <w:rsid w:val="00FE1612"/>
    <w:rsid w:val="00FE2126"/>
    <w:rsid w:val="00FE2DD5"/>
    <w:rsid w:val="00FE3498"/>
    <w:rsid w:val="00FE3577"/>
    <w:rsid w:val="00FE45AD"/>
    <w:rsid w:val="00FE4A53"/>
    <w:rsid w:val="00FE5434"/>
    <w:rsid w:val="00FE5DEC"/>
    <w:rsid w:val="00FE5E4F"/>
    <w:rsid w:val="00FE7CE9"/>
    <w:rsid w:val="00FE7ECE"/>
    <w:rsid w:val="00FF0B90"/>
    <w:rsid w:val="00FF1644"/>
    <w:rsid w:val="00FF178D"/>
    <w:rsid w:val="00FF1A5F"/>
    <w:rsid w:val="00FF2418"/>
    <w:rsid w:val="00FF2C3D"/>
    <w:rsid w:val="00FF2FF4"/>
    <w:rsid w:val="00FF4DFF"/>
    <w:rsid w:val="00FF534A"/>
    <w:rsid w:val="00FF6C18"/>
    <w:rsid w:val="00FF6FAE"/>
    <w:rsid w:val="00FF76DF"/>
    <w:rsid w:val="01020803"/>
    <w:rsid w:val="067F742C"/>
    <w:rsid w:val="06A63ED7"/>
    <w:rsid w:val="0A3E2B46"/>
    <w:rsid w:val="0C1B788E"/>
    <w:rsid w:val="0C4E3782"/>
    <w:rsid w:val="0E524C2B"/>
    <w:rsid w:val="0F764D0B"/>
    <w:rsid w:val="124E4E97"/>
    <w:rsid w:val="14863064"/>
    <w:rsid w:val="17161DB4"/>
    <w:rsid w:val="19C7677B"/>
    <w:rsid w:val="1E05471C"/>
    <w:rsid w:val="20B247AC"/>
    <w:rsid w:val="26406DC5"/>
    <w:rsid w:val="26C06820"/>
    <w:rsid w:val="27611717"/>
    <w:rsid w:val="2DA1290D"/>
    <w:rsid w:val="2EE20D93"/>
    <w:rsid w:val="32454D8F"/>
    <w:rsid w:val="32D06363"/>
    <w:rsid w:val="3371771E"/>
    <w:rsid w:val="33AF5149"/>
    <w:rsid w:val="33B339B7"/>
    <w:rsid w:val="36D133F8"/>
    <w:rsid w:val="3B78193C"/>
    <w:rsid w:val="3D9B3EDF"/>
    <w:rsid w:val="42FF5C51"/>
    <w:rsid w:val="4407719F"/>
    <w:rsid w:val="45CE01E8"/>
    <w:rsid w:val="46BA42BA"/>
    <w:rsid w:val="4CB97488"/>
    <w:rsid w:val="4D360C98"/>
    <w:rsid w:val="4FFE18CB"/>
    <w:rsid w:val="516E371A"/>
    <w:rsid w:val="52497AC9"/>
    <w:rsid w:val="52A95C52"/>
    <w:rsid w:val="57BE2175"/>
    <w:rsid w:val="58381240"/>
    <w:rsid w:val="5AB341B8"/>
    <w:rsid w:val="5AF06A4E"/>
    <w:rsid w:val="5E0F59B1"/>
    <w:rsid w:val="638D54CF"/>
    <w:rsid w:val="650E0EF8"/>
    <w:rsid w:val="6924103F"/>
    <w:rsid w:val="6B032C8A"/>
    <w:rsid w:val="6B15541A"/>
    <w:rsid w:val="6B3306FD"/>
    <w:rsid w:val="6CDB70D6"/>
    <w:rsid w:val="6ED9510F"/>
    <w:rsid w:val="707E21C3"/>
    <w:rsid w:val="77607B8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nhideWhenUsed="0"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39"/>
    <w:qFormat/>
    <w:uiPriority w:val="0"/>
    <w:pPr>
      <w:keepNext/>
      <w:keepLines/>
      <w:spacing w:beforeLines="100" w:afterLines="100" w:line="540" w:lineRule="exact"/>
      <w:jc w:val="center"/>
      <w:outlineLvl w:val="0"/>
    </w:pPr>
    <w:rPr>
      <w:rFonts w:ascii="Times New Roman" w:hAnsi="Times New Roman" w:eastAsia="黑体" w:cs="Times New Roman"/>
      <w:bCs/>
      <w:kern w:val="44"/>
      <w:sz w:val="36"/>
      <w:szCs w:val="44"/>
    </w:rPr>
  </w:style>
  <w:style w:type="paragraph" w:styleId="3">
    <w:name w:val="heading 2"/>
    <w:basedOn w:val="1"/>
    <w:next w:val="1"/>
    <w:link w:val="29"/>
    <w:qFormat/>
    <w:uiPriority w:val="9"/>
    <w:pPr>
      <w:keepNext/>
      <w:keepLines/>
      <w:spacing w:before="260" w:after="260" w:line="416" w:lineRule="auto"/>
      <w:outlineLvl w:val="1"/>
    </w:pPr>
    <w:rPr>
      <w:rFonts w:ascii="Arial" w:hAnsi="Arial" w:eastAsia="黑体" w:cs="Times New Roman"/>
      <w:b/>
      <w:bCs/>
      <w:sz w:val="32"/>
      <w:szCs w:val="32"/>
    </w:rPr>
  </w:style>
  <w:style w:type="paragraph" w:styleId="4">
    <w:name w:val="heading 3"/>
    <w:basedOn w:val="1"/>
    <w:next w:val="1"/>
    <w:link w:val="38"/>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40"/>
    <w:unhideWhenUsed/>
    <w:qFormat/>
    <w:uiPriority w:val="9"/>
    <w:pPr>
      <w:keepNext/>
      <w:keepLines/>
      <w:spacing w:beforeLines="50" w:afterLines="50" w:line="540" w:lineRule="exact"/>
      <w:jc w:val="left"/>
      <w:outlineLvl w:val="3"/>
    </w:pPr>
    <w:rPr>
      <w:rFonts w:ascii="Times New Roman" w:hAnsi="Times New Roman" w:eastAsia="宋体" w:cs="Times New Roman"/>
      <w:bCs/>
      <w:sz w:val="24"/>
      <w:szCs w:val="28"/>
    </w:rPr>
  </w:style>
  <w:style w:type="paragraph" w:styleId="6">
    <w:name w:val="heading 7"/>
    <w:basedOn w:val="1"/>
    <w:next w:val="1"/>
    <w:link w:val="41"/>
    <w:semiHidden/>
    <w:unhideWhenUsed/>
    <w:qFormat/>
    <w:uiPriority w:val="9"/>
    <w:pPr>
      <w:keepNext/>
      <w:keepLines/>
      <w:spacing w:before="240" w:after="64" w:line="320" w:lineRule="auto"/>
      <w:outlineLvl w:val="6"/>
    </w:pPr>
    <w:rPr>
      <w:rFonts w:ascii="Times New Roman" w:hAnsi="Times New Roman" w:eastAsia="宋体" w:cs="Times New Roman"/>
      <w:b/>
      <w:bCs/>
      <w:sz w:val="24"/>
      <w:szCs w:val="24"/>
    </w:rPr>
  </w:style>
  <w:style w:type="character" w:default="1" w:styleId="21">
    <w:name w:val="Default Paragraph Font"/>
    <w:semiHidden/>
    <w:unhideWhenUsed/>
    <w:uiPriority w:val="1"/>
  </w:style>
  <w:style w:type="table" w:default="1" w:styleId="19">
    <w:name w:val="Normal Table"/>
    <w:semiHidden/>
    <w:unhideWhenUsed/>
    <w:uiPriority w:val="99"/>
    <w:tblPr>
      <w:tblCellMar>
        <w:top w:w="0" w:type="dxa"/>
        <w:left w:w="108" w:type="dxa"/>
        <w:bottom w:w="0" w:type="dxa"/>
        <w:right w:w="108" w:type="dxa"/>
      </w:tblCellMar>
    </w:tblPr>
  </w:style>
  <w:style w:type="paragraph" w:styleId="7">
    <w:name w:val="Document Map"/>
    <w:basedOn w:val="1"/>
    <w:link w:val="32"/>
    <w:semiHidden/>
    <w:unhideWhenUsed/>
    <w:qFormat/>
    <w:uiPriority w:val="99"/>
    <w:rPr>
      <w:rFonts w:ascii="宋体" w:eastAsia="宋体"/>
      <w:sz w:val="18"/>
      <w:szCs w:val="18"/>
    </w:rPr>
  </w:style>
  <w:style w:type="paragraph" w:styleId="8">
    <w:name w:val="annotation text"/>
    <w:basedOn w:val="1"/>
    <w:link w:val="26"/>
    <w:unhideWhenUsed/>
    <w:qFormat/>
    <w:uiPriority w:val="99"/>
    <w:pPr>
      <w:jc w:val="left"/>
    </w:pPr>
  </w:style>
  <w:style w:type="paragraph" w:styleId="9">
    <w:name w:val="toc 3"/>
    <w:basedOn w:val="1"/>
    <w:next w:val="1"/>
    <w:qFormat/>
    <w:uiPriority w:val="39"/>
    <w:pPr>
      <w:tabs>
        <w:tab w:val="right" w:leader="dot" w:pos="8724"/>
      </w:tabs>
      <w:spacing w:line="500" w:lineRule="exact"/>
      <w:jc w:val="center"/>
    </w:pPr>
    <w:rPr>
      <w:rFonts w:ascii="Times New Roman" w:hAnsi="Times New Roman" w:eastAsia="楷体" w:cs="Times New Roman"/>
      <w:sz w:val="32"/>
      <w:szCs w:val="24"/>
    </w:rPr>
  </w:style>
  <w:style w:type="paragraph" w:styleId="10">
    <w:name w:val="Date"/>
    <w:basedOn w:val="1"/>
    <w:next w:val="1"/>
    <w:link w:val="36"/>
    <w:semiHidden/>
    <w:unhideWhenUsed/>
    <w:qFormat/>
    <w:uiPriority w:val="99"/>
    <w:pPr>
      <w:ind w:left="100" w:leftChars="2500"/>
    </w:pPr>
  </w:style>
  <w:style w:type="paragraph" w:styleId="11">
    <w:name w:val="Balloon Text"/>
    <w:basedOn w:val="1"/>
    <w:link w:val="28"/>
    <w:semiHidden/>
    <w:unhideWhenUsed/>
    <w:qFormat/>
    <w:uiPriority w:val="99"/>
    <w:rPr>
      <w:sz w:val="18"/>
      <w:szCs w:val="18"/>
    </w:rPr>
  </w:style>
  <w:style w:type="paragraph" w:styleId="12">
    <w:name w:val="footer"/>
    <w:basedOn w:val="1"/>
    <w:link w:val="25"/>
    <w:unhideWhenUsed/>
    <w:qFormat/>
    <w:uiPriority w:val="99"/>
    <w:pPr>
      <w:tabs>
        <w:tab w:val="center" w:pos="4153"/>
        <w:tab w:val="right" w:pos="8306"/>
      </w:tabs>
      <w:snapToGrid w:val="0"/>
      <w:jc w:val="left"/>
    </w:pPr>
    <w:rPr>
      <w:sz w:val="18"/>
      <w:szCs w:val="18"/>
    </w:rPr>
  </w:style>
  <w:style w:type="paragraph" w:styleId="13">
    <w:name w:val="header"/>
    <w:basedOn w:val="1"/>
    <w:link w:val="24"/>
    <w:unhideWhenUsed/>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unhideWhenUsed/>
    <w:qFormat/>
    <w:uiPriority w:val="39"/>
    <w:pPr>
      <w:tabs>
        <w:tab w:val="right" w:leader="dot" w:pos="8296"/>
      </w:tabs>
      <w:spacing w:line="480" w:lineRule="auto"/>
    </w:pPr>
    <w:rPr>
      <w:sz w:val="24"/>
    </w:rPr>
  </w:style>
  <w:style w:type="paragraph" w:styleId="15">
    <w:name w:val="toc 6"/>
    <w:basedOn w:val="1"/>
    <w:next w:val="1"/>
    <w:semiHidden/>
    <w:unhideWhenUsed/>
    <w:uiPriority w:val="39"/>
    <w:pPr>
      <w:ind w:left="2100" w:leftChars="1000"/>
    </w:pPr>
  </w:style>
  <w:style w:type="paragraph" w:styleId="16">
    <w:name w:val="toc 2"/>
    <w:basedOn w:val="1"/>
    <w:next w:val="1"/>
    <w:unhideWhenUsed/>
    <w:qFormat/>
    <w:uiPriority w:val="39"/>
    <w:pPr>
      <w:tabs>
        <w:tab w:val="right" w:leader="dot" w:pos="8296"/>
      </w:tabs>
      <w:spacing w:line="360" w:lineRule="auto"/>
      <w:ind w:left="420" w:leftChars="200"/>
    </w:pPr>
  </w:style>
  <w:style w:type="paragraph" w:styleId="1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8">
    <w:name w:val="annotation subject"/>
    <w:basedOn w:val="8"/>
    <w:next w:val="8"/>
    <w:link w:val="27"/>
    <w:semiHidden/>
    <w:unhideWhenUsed/>
    <w:qFormat/>
    <w:uiPriority w:val="99"/>
    <w:rPr>
      <w:b/>
      <w:bCs/>
    </w:rPr>
  </w:style>
  <w:style w:type="table" w:styleId="20">
    <w:name w:val="Table Grid"/>
    <w:basedOn w:val="1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2">
    <w:name w:val="Hyperlink"/>
    <w:basedOn w:val="21"/>
    <w:unhideWhenUsed/>
    <w:qFormat/>
    <w:uiPriority w:val="99"/>
    <w:rPr>
      <w:color w:val="0000FF" w:themeColor="hyperlink"/>
      <w:u w:val="single"/>
      <w14:textFill>
        <w14:solidFill>
          <w14:schemeClr w14:val="hlink"/>
        </w14:solidFill>
      </w14:textFill>
    </w:rPr>
  </w:style>
  <w:style w:type="character" w:styleId="23">
    <w:name w:val="annotation reference"/>
    <w:basedOn w:val="21"/>
    <w:semiHidden/>
    <w:unhideWhenUsed/>
    <w:qFormat/>
    <w:uiPriority w:val="99"/>
    <w:rPr>
      <w:sz w:val="21"/>
      <w:szCs w:val="21"/>
    </w:rPr>
  </w:style>
  <w:style w:type="character" w:customStyle="1" w:styleId="24">
    <w:name w:val="页眉 Char"/>
    <w:basedOn w:val="21"/>
    <w:link w:val="13"/>
    <w:qFormat/>
    <w:uiPriority w:val="99"/>
    <w:rPr>
      <w:sz w:val="18"/>
      <w:szCs w:val="18"/>
    </w:rPr>
  </w:style>
  <w:style w:type="character" w:customStyle="1" w:styleId="25">
    <w:name w:val="页脚 Char"/>
    <w:basedOn w:val="21"/>
    <w:link w:val="12"/>
    <w:qFormat/>
    <w:uiPriority w:val="99"/>
    <w:rPr>
      <w:sz w:val="18"/>
      <w:szCs w:val="18"/>
    </w:rPr>
  </w:style>
  <w:style w:type="character" w:customStyle="1" w:styleId="26">
    <w:name w:val="批注文字 Char"/>
    <w:basedOn w:val="21"/>
    <w:link w:val="8"/>
    <w:qFormat/>
    <w:uiPriority w:val="99"/>
  </w:style>
  <w:style w:type="character" w:customStyle="1" w:styleId="27">
    <w:name w:val="批注主题 Char"/>
    <w:basedOn w:val="26"/>
    <w:link w:val="18"/>
    <w:semiHidden/>
    <w:qFormat/>
    <w:uiPriority w:val="99"/>
    <w:rPr>
      <w:b/>
      <w:bCs/>
    </w:rPr>
  </w:style>
  <w:style w:type="character" w:customStyle="1" w:styleId="28">
    <w:name w:val="批注框文本 Char"/>
    <w:basedOn w:val="21"/>
    <w:link w:val="11"/>
    <w:semiHidden/>
    <w:qFormat/>
    <w:uiPriority w:val="99"/>
    <w:rPr>
      <w:sz w:val="18"/>
      <w:szCs w:val="18"/>
    </w:rPr>
  </w:style>
  <w:style w:type="character" w:customStyle="1" w:styleId="29">
    <w:name w:val="标题 2 Char"/>
    <w:basedOn w:val="21"/>
    <w:link w:val="3"/>
    <w:qFormat/>
    <w:uiPriority w:val="0"/>
    <w:rPr>
      <w:rFonts w:ascii="Arial" w:hAnsi="Arial" w:eastAsia="黑体" w:cs="Times New Roman"/>
      <w:b/>
      <w:bCs/>
      <w:sz w:val="32"/>
      <w:szCs w:val="32"/>
    </w:rPr>
  </w:style>
  <w:style w:type="paragraph" w:customStyle="1" w:styleId="30">
    <w:name w:val="列出段落1"/>
    <w:basedOn w:val="1"/>
    <w:qFormat/>
    <w:uiPriority w:val="0"/>
    <w:pPr>
      <w:ind w:firstLine="420" w:firstLineChars="200"/>
    </w:pPr>
    <w:rPr>
      <w:rFonts w:ascii="Times New Roman" w:hAnsi="Times New Roman" w:eastAsia="宋体" w:cs="Times New Roman"/>
      <w:szCs w:val="24"/>
    </w:rPr>
  </w:style>
  <w:style w:type="paragraph" w:styleId="31">
    <w:name w:val="List Paragraph"/>
    <w:basedOn w:val="1"/>
    <w:qFormat/>
    <w:uiPriority w:val="34"/>
    <w:pPr>
      <w:ind w:firstLine="420" w:firstLineChars="200"/>
    </w:pPr>
  </w:style>
  <w:style w:type="character" w:customStyle="1" w:styleId="32">
    <w:name w:val="文档结构图 Char"/>
    <w:basedOn w:val="21"/>
    <w:link w:val="7"/>
    <w:semiHidden/>
    <w:qFormat/>
    <w:uiPriority w:val="99"/>
    <w:rPr>
      <w:rFonts w:ascii="宋体" w:eastAsia="宋体"/>
      <w:sz w:val="18"/>
      <w:szCs w:val="18"/>
    </w:rPr>
  </w:style>
  <w:style w:type="paragraph" w:customStyle="1" w:styleId="33">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34">
    <w:name w:val="！正文！"/>
    <w:basedOn w:val="1"/>
    <w:link w:val="35"/>
    <w:qFormat/>
    <w:uiPriority w:val="0"/>
    <w:pPr>
      <w:widowControl/>
      <w:adjustRightInd w:val="0"/>
      <w:snapToGrid w:val="0"/>
      <w:spacing w:line="540" w:lineRule="exact"/>
      <w:ind w:firstLine="200" w:firstLineChars="200"/>
    </w:pPr>
    <w:rPr>
      <w:rFonts w:ascii="Times New Roman" w:hAnsi="Times New Roman" w:eastAsia="宋体" w:cs="Times New Roman"/>
      <w:sz w:val="24"/>
      <w:szCs w:val="20"/>
      <w:lang w:val="zh-CN"/>
    </w:rPr>
  </w:style>
  <w:style w:type="character" w:customStyle="1" w:styleId="35">
    <w:name w:val="！正文！ Char"/>
    <w:link w:val="34"/>
    <w:qFormat/>
    <w:uiPriority w:val="0"/>
    <w:rPr>
      <w:rFonts w:ascii="Times New Roman" w:hAnsi="Times New Roman" w:eastAsia="宋体" w:cs="Times New Roman"/>
      <w:kern w:val="2"/>
      <w:sz w:val="24"/>
      <w:lang w:val="zh-CN" w:eastAsia="zh-CN"/>
    </w:rPr>
  </w:style>
  <w:style w:type="character" w:customStyle="1" w:styleId="36">
    <w:name w:val="日期 Char"/>
    <w:basedOn w:val="21"/>
    <w:link w:val="10"/>
    <w:semiHidden/>
    <w:qFormat/>
    <w:uiPriority w:val="99"/>
    <w:rPr>
      <w:kern w:val="2"/>
      <w:sz w:val="21"/>
      <w:szCs w:val="22"/>
    </w:rPr>
  </w:style>
  <w:style w:type="paragraph" w:customStyle="1" w:styleId="37">
    <w:name w:val="黑体 小二 居中"/>
    <w:basedOn w:val="1"/>
    <w:qFormat/>
    <w:uiPriority w:val="0"/>
    <w:pPr>
      <w:spacing w:line="360" w:lineRule="auto"/>
      <w:jc w:val="center"/>
    </w:pPr>
    <w:rPr>
      <w:rFonts w:ascii="Times New Roman" w:hAnsi="Times New Roman" w:eastAsia="黑体" w:cs="宋体"/>
      <w:sz w:val="36"/>
      <w:szCs w:val="20"/>
    </w:rPr>
  </w:style>
  <w:style w:type="character" w:customStyle="1" w:styleId="38">
    <w:name w:val="标题 3 Char"/>
    <w:basedOn w:val="21"/>
    <w:link w:val="4"/>
    <w:semiHidden/>
    <w:qFormat/>
    <w:uiPriority w:val="9"/>
    <w:rPr>
      <w:b/>
      <w:bCs/>
      <w:kern w:val="2"/>
      <w:sz w:val="32"/>
      <w:szCs w:val="32"/>
    </w:rPr>
  </w:style>
  <w:style w:type="character" w:customStyle="1" w:styleId="39">
    <w:name w:val="标题 1 Char"/>
    <w:basedOn w:val="21"/>
    <w:link w:val="2"/>
    <w:qFormat/>
    <w:uiPriority w:val="9"/>
    <w:rPr>
      <w:rFonts w:ascii="Times New Roman" w:hAnsi="Times New Roman" w:eastAsia="黑体" w:cs="Times New Roman"/>
      <w:bCs/>
      <w:kern w:val="44"/>
      <w:sz w:val="36"/>
      <w:szCs w:val="44"/>
    </w:rPr>
  </w:style>
  <w:style w:type="character" w:customStyle="1" w:styleId="40">
    <w:name w:val="标题 4 Char"/>
    <w:basedOn w:val="21"/>
    <w:link w:val="5"/>
    <w:qFormat/>
    <w:uiPriority w:val="9"/>
    <w:rPr>
      <w:rFonts w:ascii="Times New Roman" w:hAnsi="Times New Roman" w:eastAsia="宋体" w:cs="Times New Roman"/>
      <w:bCs/>
      <w:kern w:val="2"/>
      <w:sz w:val="24"/>
      <w:szCs w:val="28"/>
    </w:rPr>
  </w:style>
  <w:style w:type="character" w:customStyle="1" w:styleId="41">
    <w:name w:val="标题 7 Char"/>
    <w:basedOn w:val="21"/>
    <w:link w:val="6"/>
    <w:semiHidden/>
    <w:qFormat/>
    <w:uiPriority w:val="9"/>
    <w:rPr>
      <w:rFonts w:ascii="Times New Roman" w:hAnsi="Times New Roman" w:eastAsia="宋体" w:cs="Times New Roman"/>
      <w:b/>
      <w:bCs/>
      <w:kern w:val="2"/>
      <w:sz w:val="24"/>
      <w:szCs w:val="24"/>
    </w:rPr>
  </w:style>
  <w:style w:type="paragraph" w:customStyle="1" w:styleId="42">
    <w:name w:val="图样式"/>
    <w:basedOn w:val="1"/>
    <w:link w:val="43"/>
    <w:qFormat/>
    <w:uiPriority w:val="0"/>
    <w:pPr>
      <w:jc w:val="center"/>
    </w:pPr>
    <w:rPr>
      <w:rFonts w:ascii="Times New Roman" w:hAnsi="Times New Roman" w:eastAsia="宋体" w:cs="Times New Roman"/>
      <w:sz w:val="24"/>
    </w:rPr>
  </w:style>
  <w:style w:type="character" w:customStyle="1" w:styleId="43">
    <w:name w:val="图样式 字符"/>
    <w:link w:val="42"/>
    <w:qFormat/>
    <w:uiPriority w:val="0"/>
    <w:rPr>
      <w:rFonts w:ascii="Times New Roman" w:hAnsi="Times New Roman" w:eastAsia="宋体" w:cs="Times New Roman"/>
      <w:kern w:val="2"/>
      <w:sz w:val="24"/>
      <w:szCs w:val="22"/>
    </w:rPr>
  </w:style>
  <w:style w:type="paragraph" w:customStyle="1" w:styleId="44">
    <w:name w:val="表名"/>
    <w:basedOn w:val="1"/>
    <w:qFormat/>
    <w:uiPriority w:val="0"/>
    <w:pPr>
      <w:widowControl/>
      <w:adjustRightInd w:val="0"/>
      <w:snapToGrid w:val="0"/>
      <w:spacing w:line="540" w:lineRule="exact"/>
      <w:jc w:val="center"/>
    </w:pPr>
    <w:rPr>
      <w:rFonts w:ascii="Times New Roman" w:hAnsi="Times New Roman" w:eastAsia="黑体" w:cs="Times New Roman"/>
      <w:color w:val="000000"/>
      <w:kern w:val="0"/>
      <w:szCs w:val="20"/>
    </w:rPr>
  </w:style>
  <w:style w:type="paragraph" w:customStyle="1" w:styleId="45">
    <w:name w:val="图"/>
    <w:basedOn w:val="1"/>
    <w:link w:val="46"/>
    <w:qFormat/>
    <w:uiPriority w:val="1"/>
    <w:pPr>
      <w:widowControl/>
      <w:adjustRightInd w:val="0"/>
      <w:snapToGrid w:val="0"/>
      <w:jc w:val="center"/>
    </w:pPr>
    <w:rPr>
      <w:rFonts w:ascii="Times New Roman" w:hAnsi="Times New Roman" w:eastAsia="宋体" w:cs="Times New Roman"/>
      <w:sz w:val="24"/>
      <w:szCs w:val="21"/>
    </w:rPr>
  </w:style>
  <w:style w:type="character" w:customStyle="1" w:styleId="46">
    <w:name w:val="图 字符"/>
    <w:link w:val="45"/>
    <w:qFormat/>
    <w:uiPriority w:val="1"/>
    <w:rPr>
      <w:rFonts w:ascii="Times New Roman" w:hAnsi="Times New Roman" w:eastAsia="宋体" w:cs="Times New Roman"/>
      <w:kern w:val="2"/>
      <w:sz w:val="24"/>
      <w:szCs w:val="21"/>
    </w:rPr>
  </w:style>
  <w:style w:type="paragraph" w:customStyle="1" w:styleId="47">
    <w:name w:val="图名"/>
    <w:basedOn w:val="44"/>
    <w:link w:val="48"/>
    <w:qFormat/>
    <w:uiPriority w:val="0"/>
    <w:pPr>
      <w:spacing w:line="240" w:lineRule="auto"/>
    </w:pPr>
  </w:style>
  <w:style w:type="character" w:customStyle="1" w:styleId="48">
    <w:name w:val="图名 字符"/>
    <w:link w:val="47"/>
    <w:qFormat/>
    <w:uiPriority w:val="0"/>
    <w:rPr>
      <w:rFonts w:ascii="Times New Roman" w:hAnsi="Times New Roman" w:eastAsia="黑体" w:cs="Times New Roman"/>
      <w:color w:val="000000"/>
      <w:sz w:val="21"/>
    </w:rPr>
  </w:style>
  <w:style w:type="character" w:styleId="49">
    <w:name w:val="Placeholder Text"/>
    <w:basedOn w:val="21"/>
    <w:semiHidden/>
    <w:qFormat/>
    <w:uiPriority w:val="99"/>
    <w:rPr>
      <w:color w:val="808080"/>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footer" Target="footer2.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2.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footer" Target="footer3.xml"/><Relationship Id="rId13" Type="http://schemas.openxmlformats.org/officeDocument/2006/relationships/header" Target="header9.xml"/><Relationship Id="rId12" Type="http://schemas.openxmlformats.org/officeDocument/2006/relationships/header" Target="header8.xml"/><Relationship Id="rId11" Type="http://schemas.openxmlformats.org/officeDocument/2006/relationships/header" Target="header7.xml"/><Relationship Id="rId10" Type="http://schemas.openxmlformats.org/officeDocument/2006/relationships/header" Target="head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7365913-12C9-452E-BFC2-32192B56004E}">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35</Pages>
  <Words>2477</Words>
  <Characters>14125</Characters>
  <Lines>117</Lines>
  <Paragraphs>33</Paragraphs>
  <TotalTime>136</TotalTime>
  <ScaleCrop>false</ScaleCrop>
  <LinksUpToDate>false</LinksUpToDate>
  <CharactersWithSpaces>16569</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2021-10-25T00:57:00Z</dcterms:created>
  <dc:creator>Administrator</dc:creator>
  <cp:lastModifiedBy>LENOVOXXZX</cp:lastModifiedBy>
  <cp:lastPrinted>2021-10-20T08:58:00Z</cp:lastPrinted>
  <dcterms:modified xsi:type="dcterms:W3CDTF">2021-12-15T00:40:55Z</dcterms:modified>
  <dc:title>宁波的的</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18AC949C991042D9875DE3150400D318</vt:lpwstr>
  </property>
</Properties>
</file>