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both"/>
        <w:textAlignment w:val="center"/>
        <w:outlineLvl w:val="9"/>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整合划入市场监管综合行政执法范围的商务执法事项目录</w:t>
      </w:r>
    </w:p>
    <w:tbl>
      <w:tblPr>
        <w:tblStyle w:val="4"/>
        <w:tblpPr w:leftFromText="180" w:rightFromText="180" w:vertAnchor="text" w:horzAnchor="page" w:tblpX="1681" w:tblpY="385"/>
        <w:tblOverlap w:val="never"/>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57" w:type="dxa"/>
          <w:left w:w="28" w:type="dxa"/>
          <w:bottom w:w="57" w:type="dxa"/>
          <w:right w:w="28" w:type="dxa"/>
        </w:tblCellMar>
      </w:tblPr>
      <w:tblGrid>
        <w:gridCol w:w="570"/>
        <w:gridCol w:w="827"/>
        <w:gridCol w:w="1560"/>
        <w:gridCol w:w="2880"/>
        <w:gridCol w:w="1214"/>
        <w:gridCol w:w="4244"/>
        <w:gridCol w:w="900"/>
        <w:gridCol w:w="91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57" w:type="dxa"/>
            <w:left w:w="28" w:type="dxa"/>
            <w:bottom w:w="57" w:type="dxa"/>
            <w:right w:w="28" w:type="dxa"/>
          </w:tblCellMar>
        </w:tblPrEx>
        <w:trPr>
          <w:trHeight w:val="649" w:hRule="atLeast"/>
        </w:trPr>
        <w:tc>
          <w:tcPr>
            <w:tcW w:w="570"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5267"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移交权力事项</w:t>
            </w:r>
          </w:p>
        </w:tc>
        <w:tc>
          <w:tcPr>
            <w:tcW w:w="1214"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具体划转执法事项</w:t>
            </w:r>
          </w:p>
        </w:tc>
        <w:tc>
          <w:tcPr>
            <w:tcW w:w="4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职责边界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划出</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部门</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主体</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74" w:hRule="atLeast"/>
        </w:trPr>
        <w:tc>
          <w:tcPr>
            <w:tcW w:w="570"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方面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w:t>
            </w:r>
            <w:bookmarkStart w:id="0" w:name="_GoBack"/>
            <w:bookmarkEnd w:id="0"/>
            <w:r>
              <w:rPr>
                <w:rFonts w:hint="eastAsia" w:ascii="黑体" w:hAnsi="宋体" w:eastAsia="黑体" w:cs="黑体"/>
                <w:i w:val="0"/>
                <w:color w:val="auto"/>
                <w:kern w:val="0"/>
                <w:sz w:val="28"/>
                <w:szCs w:val="28"/>
                <w:u w:val="none"/>
                <w:lang w:val="en-US" w:eastAsia="zh-CN" w:bidi="ar"/>
              </w:rPr>
              <w:t>编码</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事项名称</w:t>
            </w:r>
          </w:p>
        </w:tc>
        <w:tc>
          <w:tcPr>
            <w:tcW w:w="1214"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p>
        </w:tc>
        <w:tc>
          <w:tcPr>
            <w:tcW w:w="4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1</w:t>
            </w:r>
          </w:p>
        </w:tc>
        <w:tc>
          <w:tcPr>
            <w:tcW w:w="8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单用途预付卡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330221038001</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对单用途商业预付卡集团企业、品牌发卡企业违反备案规定的行政处罚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2</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330221038002</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对单用途商业预付卡规模发卡企业违反备案规定的行政处罚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3</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330221038003</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对单用途商业预付卡其他发卡企业违反备案规定的行政处罚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4</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对单用途商业预付卡发卡企业或售卡企业违反单用途商业预付卡发行与服务相关规定的行政处罚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4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5</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对单用途商业预付卡发卡企业违反单用途商业预付卡资金管理相关规定的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4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单用途预付凭证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对经营者违反单用途商业预付凭证发行管理相关规定的行政处罚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3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7</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汽车销售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对汽车经销商出售未经授权销售</w:t>
            </w:r>
            <w:r>
              <w:rPr>
                <w:rStyle w:val="8"/>
                <w:color w:val="auto"/>
                <w:sz w:val="21"/>
                <w:szCs w:val="21"/>
                <w:lang w:val="en-US" w:eastAsia="zh-CN" w:bidi="ar"/>
              </w:rPr>
              <w:t>的</w:t>
            </w:r>
            <w:r>
              <w:rPr>
                <w:rStyle w:val="7"/>
                <w:color w:val="auto"/>
                <w:sz w:val="21"/>
                <w:szCs w:val="21"/>
                <w:lang w:val="en-US" w:eastAsia="zh-CN" w:bidi="ar"/>
              </w:rPr>
              <w:t>汽车，未书面向消费者提醒、说明销售汽车授权情况，或未经授权、授权终止后以供应商授权名义从事汽车销售经营活动的行政处罚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2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对汽车经销商不明码标价销售的行政处罚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15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cstheme="minorEastAsia"/>
                <w:i w:val="0"/>
                <w:color w:val="auto"/>
                <w:kern w:val="0"/>
                <w:sz w:val="21"/>
                <w:szCs w:val="21"/>
                <w:u w:val="none"/>
                <w:lang w:val="en-US" w:eastAsia="zh-CN" w:bidi="ar"/>
              </w:rPr>
              <w:t>9</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对汽车经销商、供应商限定消费者户籍所在地、产品提供</w:t>
            </w:r>
            <w:r>
              <w:rPr>
                <w:rStyle w:val="10"/>
                <w:color w:val="auto"/>
                <w:sz w:val="21"/>
                <w:szCs w:val="21"/>
                <w:lang w:val="en-US" w:eastAsia="zh-CN" w:bidi="ar"/>
              </w:rPr>
              <w:t>商</w:t>
            </w:r>
            <w:r>
              <w:rPr>
                <w:rStyle w:val="9"/>
                <w:color w:val="auto"/>
                <w:sz w:val="21"/>
                <w:szCs w:val="21"/>
                <w:lang w:val="en-US" w:eastAsia="zh-CN" w:bidi="ar"/>
              </w:rPr>
              <w:t>和售后服务</w:t>
            </w:r>
            <w:r>
              <w:rPr>
                <w:rStyle w:val="10"/>
                <w:color w:val="auto"/>
                <w:sz w:val="21"/>
                <w:szCs w:val="21"/>
                <w:lang w:val="en-US" w:eastAsia="zh-CN" w:bidi="ar"/>
              </w:rPr>
              <w:t>商</w:t>
            </w:r>
            <w:r>
              <w:rPr>
                <w:rStyle w:val="9"/>
                <w:color w:val="auto"/>
                <w:sz w:val="21"/>
                <w:szCs w:val="21"/>
                <w:lang w:val="en-US" w:eastAsia="zh-CN" w:bidi="ar"/>
              </w:rPr>
              <w:t>，强制购买保险、提供代办登记等服务的行政处罚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2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10</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对汽车经销商、供应商不落实提供连续售后服务的行政处罚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03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11</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对汽车供应商制定或实施的商务政策违反公平、公正、透明原则的行政处罚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0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2</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对汽车供应商限制配件生产商、进口商的销售对象，无依据限制经销商、售后服务商转售配件，或未及时公布停产、停售车型并保证配件供应及售后服务的行政处罚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13</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对汽车供应商违反汽车区域销售合同的行政处罚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14</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对汽车供应商向汽车经销商提出不合理、不平等要求或限制的行政处罚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4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15</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对汽车经销商、售后服务商未标明、提醒、说明销售或提供配件相关信息的行政处罚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87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16</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对汽车经销商、供应商未在经营场所或企业网站明示或公布售后服务政策、“三包”信息、合作售后服务商名单的行政处罚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7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17</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对汽车经销商、供应商未落实建立健全消费者投诉机制的行政处罚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对汽车经销商、供应商未通过全国汽车流通信息管理系统备案、不及时报送相关信息的行政处罚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2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19</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对汽车经销商、供应商未按要求落实汽车销售信息档案管理制度的行政处罚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0</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330221037005</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对汽车经销商销售汽车时未核实登记消费者身份证明、签订销售合同、如实开具销售发票的行政处罚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1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1</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报废机动车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对报废机动车回收企业未按规定处置新能源汽车动力蓄电池的行政处罚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2</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对报废机动车回收企业未取得资质进行回收拆解活动的行政处罚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49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23</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对报废机动车回收企业违规处置报废机动车五大总成、拆解零部件的行政处罚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09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24</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对报废机动车回收企业不按规定办理、转交注销登记的行政处罚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15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25</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对报废机动车回收企业不按规定如实登记填报五大总成等主要部件信息的行政处罚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8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26</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对报废机动车回收企业涂改、出租、出借或以其他形式非法转让《报废机动车回收拆解企业资质认定证书》的行政处罚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4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27</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对报废机动车回收企业未按要求备案分支机构，或分支机构违规对报废机动车进行拆解的行政处罚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对报废机动车回收企业违规开具或发放《报废机动车回收证明》，或未</w:t>
            </w:r>
            <w:r>
              <w:rPr>
                <w:rStyle w:val="8"/>
                <w:color w:val="auto"/>
                <w:sz w:val="21"/>
                <w:szCs w:val="21"/>
                <w:lang w:val="en-US" w:eastAsia="zh-CN" w:bidi="ar"/>
              </w:rPr>
              <w:t>按规定</w:t>
            </w:r>
            <w:r>
              <w:rPr>
                <w:rStyle w:val="7"/>
                <w:color w:val="auto"/>
                <w:sz w:val="21"/>
                <w:szCs w:val="21"/>
                <w:lang w:val="en-US" w:eastAsia="zh-CN" w:bidi="ar"/>
              </w:rPr>
              <w:t>对已出具《报废机动车回收证明》的报废机动车进行拆解的行政处罚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4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29</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对报废机动车回收企业违规拆解报废机动车，或交易报废机动车整车、拼装车的行政处罚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30</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对报废机动车回收企业未按规定建立和使用电子监控系统的行政处罚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7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31</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旧电器电子产品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对经营者未建立旧电器电子产品档案的行政处罚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32</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对旧电器电子产品市场未建立旧电器电子产品档案的行政处罚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33</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对经营者未对收购产品进行登记的行政处罚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34</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对经营者未依法履行旧电器电子产品“三包”责任的行政处罚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35</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对经营者违规销售旧电器电子产品的行政处罚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3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36</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对未按规定标识旧电器电子产品的行政处罚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37</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对经营者未妥善处置旧电器电子产品存储信息的行政处罚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3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对经营者、市场未按规定报送统计信息、数据的行政处罚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3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39</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330221049000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对经营者违规收购或销售旧电器电子产品的行政处罚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0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散装汽油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330221043000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对散装汽油经营者未查验并登记购买者身份信息的行政处罚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19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商品现货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330221039000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对商品现货市场经营者违规经营或违反市场机制的行政处罚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09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一次性塑料制品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330221064000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对未按规定使用不可降解塑料袋等一次性塑料制品或未按规定报告塑料袋等一次性塑料制品使用情况的行政处罚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39"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零售商供应商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330221021000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对零售商、供应商交易中不公平行为的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3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44</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家庭服务</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对家庭服务机构未公开服务项目、收费标准和投诉监督电话的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45</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330221033000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对家庭服务机构未按要求建立工作档案、跟踪管理制度，对投诉不予妥善处理的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46</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330221029000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对家庭服务机构未按要求提供经营档案信息、经营情况信息的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47</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330221063000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对家庭服务机构损害消费者或家庭服务员合法权益的行政处罚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2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330221034000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对家庭服务机构未按要求订立家庭服务合同，拒绝家庭服务员获取家庭服务合同的行政处罚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69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49</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330221024002</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对餐饮经营者违反促销</w:t>
            </w:r>
            <w:r>
              <w:rPr>
                <w:rStyle w:val="8"/>
                <w:color w:val="auto"/>
                <w:sz w:val="21"/>
                <w:szCs w:val="21"/>
                <w:lang w:val="en-US" w:eastAsia="zh-CN" w:bidi="ar"/>
              </w:rPr>
              <w:t>管理</w:t>
            </w:r>
            <w:r>
              <w:rPr>
                <w:rStyle w:val="7"/>
                <w:color w:val="auto"/>
                <w:sz w:val="21"/>
                <w:szCs w:val="21"/>
                <w:lang w:val="en-US" w:eastAsia="zh-CN" w:bidi="ar"/>
              </w:rPr>
              <w:t>规定的行政处罚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55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50</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330221024003</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对餐饮经营者未按规定建立健全突发事件应急预案及应对机制的行政处罚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51</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330221024004</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对餐饮经营者未按规定建立外送服务流程及顾客投诉制度的行政处罚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52</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家电维修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330221030001</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对家电维修经营者违反家电维修服务业信息公示要求的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53</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330221030002</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对家电维修经营者违反家电维修服务业经营行为要求的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美容美发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对美容美发经营者未明确服务项目范围，未按照其服务项目范围提供服务，或提供服务后未出具消费凭证或服务单据的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55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反倾销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对有关行业组织、中介组织和企业泄露出口产品反倾销案件应对策略和应诉方案核心内容等重要信息的行政处罚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56</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对外劳务合作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对对外劳务合作企业未按规定安排和管理劳务人员相关行为的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57</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330221069000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对对外劳务合作企业未按规定执行备案手续、未制定突发事件应急预案相关行为的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58</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对对外劳务合作企业拒不将服务合同等合同副本报商务主管部门备案，合同未载明必备事项，或备案后拒不按照要求补正必备事项的行政处罚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29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59</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330221071000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8"/>
                <w:color w:val="auto"/>
                <w:sz w:val="21"/>
                <w:szCs w:val="21"/>
                <w:lang w:val="en-US" w:eastAsia="zh-CN" w:bidi="ar"/>
              </w:rPr>
              <w:t>对对外劳务合作企业</w:t>
            </w:r>
            <w:r>
              <w:rPr>
                <w:rStyle w:val="7"/>
                <w:color w:val="auto"/>
                <w:sz w:val="21"/>
                <w:szCs w:val="21"/>
                <w:lang w:val="en-US" w:eastAsia="zh-CN" w:bidi="ar"/>
              </w:rPr>
              <w:t>以商务、旅游、留学等名义或允许其他单位、个人以本企业名义组织劳务人员赴外工作，或组织劳务人员赴外从事与赌博、色情活动相关工作的行政处罚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0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60</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对对外劳务合作企业违规安排人员赴外工作，或在国外发生突发事件时不及时处理相关行为的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6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61</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对对外劳务合作企业未依照规定缴存或补足备用金的行政处罚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28" w:type="dxa"/>
            <w:bottom w:w="57" w:type="dxa"/>
            <w:right w:w="28" w:type="dxa"/>
          </w:tblCellMar>
        </w:tblPrEx>
        <w:trPr>
          <w:trHeight w:val="1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外商投资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330221018000</w:t>
            </w:r>
          </w:p>
        </w:tc>
        <w:tc>
          <w:tcPr>
            <w:tcW w:w="2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对外国投资者、外商投资企业未按照外商投资信息报告制度要求报送投资信息的行政处罚</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21"/>
          <w:szCs w:val="21"/>
          <w:u w:val="none"/>
          <w:lang w:val="en-US" w:eastAsia="zh-CN" w:bidi="ar"/>
        </w:rPr>
      </w:pPr>
    </w:p>
    <w:p/>
    <w:sectPr>
      <w:pgSz w:w="16838" w:h="11906" w:orient="landscape"/>
      <w:pgMar w:top="1587" w:right="1474" w:bottom="1474" w:left="158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629A"/>
    <w:rsid w:val="01A8279D"/>
    <w:rsid w:val="04D228A5"/>
    <w:rsid w:val="05135872"/>
    <w:rsid w:val="072F7C3B"/>
    <w:rsid w:val="07A80854"/>
    <w:rsid w:val="0AD96142"/>
    <w:rsid w:val="0BBC6B6C"/>
    <w:rsid w:val="0D3E258C"/>
    <w:rsid w:val="186B6E9C"/>
    <w:rsid w:val="19FE3D29"/>
    <w:rsid w:val="1A266D66"/>
    <w:rsid w:val="1CC40753"/>
    <w:rsid w:val="1ECF7BA5"/>
    <w:rsid w:val="215C4A7B"/>
    <w:rsid w:val="21751FC3"/>
    <w:rsid w:val="227446A9"/>
    <w:rsid w:val="231C7754"/>
    <w:rsid w:val="238E36FB"/>
    <w:rsid w:val="25514644"/>
    <w:rsid w:val="267F18DB"/>
    <w:rsid w:val="2C192DFA"/>
    <w:rsid w:val="2E8F7634"/>
    <w:rsid w:val="2F597BB3"/>
    <w:rsid w:val="30207CE4"/>
    <w:rsid w:val="33F86BD7"/>
    <w:rsid w:val="349423BB"/>
    <w:rsid w:val="36332FB1"/>
    <w:rsid w:val="36B31E5D"/>
    <w:rsid w:val="3B5C6230"/>
    <w:rsid w:val="3EE444D2"/>
    <w:rsid w:val="3F1E679D"/>
    <w:rsid w:val="3F437FD4"/>
    <w:rsid w:val="3F4F6979"/>
    <w:rsid w:val="43C81811"/>
    <w:rsid w:val="43F94AE3"/>
    <w:rsid w:val="45261B5F"/>
    <w:rsid w:val="46092DAF"/>
    <w:rsid w:val="466662CD"/>
    <w:rsid w:val="485B629A"/>
    <w:rsid w:val="48BD05D5"/>
    <w:rsid w:val="4EA31725"/>
    <w:rsid w:val="4EFC2906"/>
    <w:rsid w:val="50D00B3C"/>
    <w:rsid w:val="51E317E5"/>
    <w:rsid w:val="564E1E4C"/>
    <w:rsid w:val="570B3F2E"/>
    <w:rsid w:val="5A1F7258"/>
    <w:rsid w:val="5E2F0B05"/>
    <w:rsid w:val="5EA066BD"/>
    <w:rsid w:val="5EB62871"/>
    <w:rsid w:val="61FA5D2D"/>
    <w:rsid w:val="625656E8"/>
    <w:rsid w:val="648B377E"/>
    <w:rsid w:val="666007B9"/>
    <w:rsid w:val="69877C40"/>
    <w:rsid w:val="6EB801FA"/>
    <w:rsid w:val="6F9A501B"/>
    <w:rsid w:val="70C72AD2"/>
    <w:rsid w:val="70FC561C"/>
    <w:rsid w:val="71874F7B"/>
    <w:rsid w:val="738A57A1"/>
    <w:rsid w:val="73D94079"/>
    <w:rsid w:val="751F75D4"/>
    <w:rsid w:val="7B820691"/>
    <w:rsid w:val="7C060A85"/>
    <w:rsid w:val="7CD6028E"/>
    <w:rsid w:val="7EC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41"/>
    <w:basedOn w:val="6"/>
    <w:qFormat/>
    <w:uiPriority w:val="0"/>
    <w:rPr>
      <w:rFonts w:hint="eastAsia" w:ascii="宋体" w:hAnsi="宋体" w:eastAsia="宋体" w:cs="宋体"/>
      <w:color w:val="000000"/>
      <w:sz w:val="21"/>
      <w:szCs w:val="21"/>
      <w:u w:val="none"/>
    </w:rPr>
  </w:style>
  <w:style w:type="character" w:customStyle="1" w:styleId="8">
    <w:name w:val="font121"/>
    <w:basedOn w:val="6"/>
    <w:qFormat/>
    <w:uiPriority w:val="0"/>
    <w:rPr>
      <w:rFonts w:hint="eastAsia" w:ascii="宋体" w:hAnsi="宋体" w:eastAsia="宋体" w:cs="宋体"/>
      <w:color w:val="FF0000"/>
      <w:sz w:val="21"/>
      <w:szCs w:val="21"/>
      <w:u w:val="none"/>
    </w:rPr>
  </w:style>
  <w:style w:type="character" w:customStyle="1" w:styleId="9">
    <w:name w:val="font51"/>
    <w:basedOn w:val="6"/>
    <w:qFormat/>
    <w:uiPriority w:val="0"/>
    <w:rPr>
      <w:rFonts w:hint="eastAsia" w:ascii="宋体" w:hAnsi="宋体" w:eastAsia="宋体" w:cs="宋体"/>
      <w:color w:val="000000"/>
      <w:sz w:val="22"/>
      <w:szCs w:val="22"/>
      <w:u w:val="none"/>
    </w:rPr>
  </w:style>
  <w:style w:type="character" w:customStyle="1" w:styleId="10">
    <w:name w:val="font131"/>
    <w:basedOn w:val="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2021-02-02T02:04:00Z</dcterms:created>
  <dc:creator>???(yett.msxzc)</dc:creator>
  <cp:lastModifiedBy>严涛</cp:lastModifiedBy>
  <cp:lastPrinted>2021-02-07T01:34:00Z</cp:lastPrinted>
  <dcterms:modified xsi:type="dcterms:W3CDTF">2021-04-17T05:32:20Z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