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0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年度数字经济发展专项（第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四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批）资金扶持企业名单</w:t>
      </w:r>
    </w:p>
    <w:p>
      <w:pPr>
        <w:spacing w:line="58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6"/>
        <w:tblW w:w="89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293"/>
        <w:gridCol w:w="1045"/>
        <w:gridCol w:w="1335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楷体" w:eastAsia="楷体" w:cs="楷体"/>
                <w:kern w:val="0"/>
                <w:sz w:val="20"/>
                <w:szCs w:val="20"/>
              </w:rPr>
              <w:t>所属街道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cs="楷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  <w:t>可补助金额</w:t>
            </w:r>
          </w:p>
          <w:p>
            <w:pPr>
              <w:widowControl/>
              <w:jc w:val="center"/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爱柯迪股份有限公司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  <w:t>企业提质发展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2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宁波捷创技术股份有限公司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宁波市精诚科技股份有限公司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庄桥街道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宁波新胜中压电器有限公司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庄桥街道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爱柯迪股份有限公司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宁波华翔汽车车门系统有限公司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宁波惠尔顿婴童安全科技股份有限公司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高新园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宁波水表（集团）股份有限公司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庄桥街道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赛特威尔电子股份有限公司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高新园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cs="楷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宁波巨隆机械股份有限公司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</w:rPr>
              <w:t>甬江街道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“两化融合”管理贯标试点扶持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浙江向隆机械有限公司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宁波梦神床垫机械有限公司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赛克思液压科技股份有限公司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宁波华翔汽车车门系统有限公司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宁波井上华翔汽车零部件有限公司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宁波艾科制冷工程有限公司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工业区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宁波三星智能电气有限公司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慈城镇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</w:rPr>
              <w:t>赛特威尔电子股份有限公司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kern w:val="0"/>
                <w:sz w:val="20"/>
                <w:szCs w:val="20"/>
                <w:lang w:val="en-US" w:eastAsia="zh-CN"/>
              </w:rPr>
              <w:t>高新园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楷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cs="黑体"/>
                <w:b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楷体"/>
                <w:b/>
                <w:bCs/>
                <w:color w:val="000000"/>
                <w:kern w:val="0"/>
                <w:sz w:val="28"/>
                <w:szCs w:val="28"/>
              </w:rPr>
              <w:t>290</w:t>
            </w:r>
          </w:p>
        </w:tc>
      </w:tr>
    </w:tbl>
    <w:p>
      <w:pPr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400</Words>
  <Characters>435</Characters>
  <Lines>94</Lines>
  <Paragraphs>88</Paragraphs>
  <TotalTime>0</TotalTime>
  <ScaleCrop>false</ScaleCrop>
  <LinksUpToDate>false</LinksUpToDate>
  <CharactersWithSpaces>435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2021-02-05T14:51:37Z</dcterms:created>
  <dc:creator>lenovo</dc:creator>
  <cp:lastModifiedBy>阿阿阿敏</cp:lastModifiedBy>
  <dcterms:modified xsi:type="dcterms:W3CDTF">2021-02-05T17:51:21Z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</Properties>
</file>