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32" w:lineRule="atLeast"/>
        <w:ind w:firstLine="1365"/>
        <w:rPr>
          <w:rFonts w:cs="Times New Roman"/>
          <w:b/>
          <w:bCs/>
          <w:spacing w:val="20"/>
          <w:sz w:val="64"/>
          <w:szCs w:val="64"/>
        </w:rPr>
      </w:pPr>
    </w:p>
    <w:p>
      <w:pPr>
        <w:widowControl/>
        <w:shd w:val="clear" w:color="auto" w:fill="FFFFFF"/>
        <w:spacing w:line="432" w:lineRule="atLeast"/>
        <w:ind w:firstLine="1365"/>
        <w:rPr>
          <w:rFonts w:cs="Times New Roman"/>
          <w:b/>
          <w:bCs/>
          <w:spacing w:val="20"/>
          <w:sz w:val="64"/>
          <w:szCs w:val="64"/>
        </w:rPr>
      </w:pPr>
    </w:p>
    <w:p>
      <w:pPr>
        <w:ind w:firstLine="1365"/>
        <w:rPr>
          <w:rFonts w:cs="Times New Roman"/>
          <w:b/>
          <w:bCs/>
          <w:spacing w:val="20"/>
          <w:sz w:val="64"/>
          <w:szCs w:val="64"/>
        </w:rPr>
      </w:pPr>
    </w:p>
    <w:p>
      <w:pPr>
        <w:jc w:val="center"/>
        <w:rPr>
          <w:rFonts w:ascii="微软雅黑" w:hAnsi="微软雅黑" w:eastAsia="微软雅黑" w:cs="Times New Roman"/>
          <w:b/>
          <w:bCs/>
          <w:spacing w:val="20"/>
          <w:sz w:val="52"/>
          <w:szCs w:val="52"/>
        </w:rPr>
      </w:pPr>
      <w:r>
        <w:rPr>
          <w:rFonts w:ascii="微软雅黑" w:hAnsi="微软雅黑" w:eastAsia="微软雅黑" w:cs="Times New Roman"/>
          <w:b/>
          <w:bCs/>
          <w:spacing w:val="20"/>
          <w:sz w:val="52"/>
          <w:szCs w:val="52"/>
        </w:rPr>
        <w:t>宁波市</w:t>
      </w:r>
      <w:r>
        <w:rPr>
          <w:rFonts w:hint="eastAsia" w:ascii="微软雅黑" w:hAnsi="微软雅黑" w:eastAsia="微软雅黑" w:cs="Times New Roman"/>
          <w:b/>
          <w:bCs/>
          <w:spacing w:val="20"/>
          <w:sz w:val="52"/>
          <w:szCs w:val="52"/>
        </w:rPr>
        <w:t>江北</w:t>
      </w:r>
      <w:r>
        <w:rPr>
          <w:rFonts w:ascii="微软雅黑" w:hAnsi="微软雅黑" w:eastAsia="微软雅黑" w:cs="Times New Roman"/>
          <w:b/>
          <w:bCs/>
          <w:spacing w:val="20"/>
          <w:sz w:val="52"/>
          <w:szCs w:val="52"/>
        </w:rPr>
        <w:t>区生态文明建设规划</w:t>
      </w:r>
      <w:bookmarkStart w:id="0" w:name="_Hlk507589687"/>
    </w:p>
    <w:p>
      <w:pPr>
        <w:jc w:val="center"/>
        <w:rPr>
          <w:rFonts w:ascii="微软雅黑" w:hAnsi="微软雅黑" w:eastAsia="微软雅黑" w:cs="Times New Roman"/>
          <w:b/>
          <w:bCs/>
          <w:sz w:val="48"/>
          <w:szCs w:val="48"/>
        </w:rPr>
      </w:pPr>
      <w:r>
        <w:rPr>
          <w:rFonts w:ascii="微软雅黑" w:hAnsi="微软雅黑" w:eastAsia="微软雅黑" w:cs="Times New Roman"/>
          <w:b/>
          <w:bCs/>
          <w:sz w:val="48"/>
          <w:szCs w:val="48"/>
        </w:rPr>
        <w:t>（2020-2030年）</w:t>
      </w:r>
    </w:p>
    <w:p>
      <w:pPr>
        <w:jc w:val="center"/>
        <w:rPr>
          <w:rFonts w:ascii="微软雅黑" w:hAnsi="微软雅黑" w:eastAsia="微软雅黑" w:cs="Times New Roman"/>
          <w:b/>
          <w:bCs/>
          <w:sz w:val="48"/>
          <w:szCs w:val="48"/>
        </w:rPr>
      </w:pPr>
    </w:p>
    <w:bookmarkEnd w:id="0"/>
    <w:p>
      <w:pPr>
        <w:ind w:firstLine="883"/>
        <w:rPr>
          <w:rFonts w:cs="Times New Roman"/>
          <w:b/>
          <w:bCs/>
          <w:sz w:val="44"/>
          <w:szCs w:val="44"/>
        </w:rPr>
      </w:pPr>
    </w:p>
    <w:p>
      <w:pPr>
        <w:ind w:firstLine="883"/>
        <w:rPr>
          <w:rFonts w:cs="Times New Roman"/>
          <w:b/>
          <w:bCs/>
          <w:sz w:val="44"/>
          <w:szCs w:val="44"/>
        </w:rPr>
      </w:pPr>
    </w:p>
    <w:p>
      <w:pPr>
        <w:ind w:firstLine="883"/>
        <w:rPr>
          <w:rFonts w:cs="Times New Roman"/>
          <w:b/>
          <w:bCs/>
          <w:sz w:val="44"/>
          <w:szCs w:val="44"/>
        </w:rPr>
      </w:pPr>
    </w:p>
    <w:p>
      <w:pPr>
        <w:ind w:firstLine="883"/>
        <w:rPr>
          <w:rFonts w:cs="Times New Roman"/>
          <w:b/>
          <w:bCs/>
          <w:sz w:val="44"/>
          <w:szCs w:val="44"/>
        </w:rPr>
      </w:pPr>
    </w:p>
    <w:p>
      <w:pPr>
        <w:ind w:firstLine="883"/>
        <w:rPr>
          <w:rFonts w:cs="Times New Roman"/>
          <w:b/>
          <w:bCs/>
          <w:sz w:val="44"/>
          <w:szCs w:val="44"/>
        </w:rPr>
      </w:pPr>
    </w:p>
    <w:p>
      <w:pPr>
        <w:ind w:firstLine="883"/>
        <w:rPr>
          <w:rFonts w:cs="Times New Roman"/>
          <w:b/>
          <w:bCs/>
          <w:sz w:val="44"/>
          <w:szCs w:val="44"/>
        </w:rPr>
      </w:pPr>
    </w:p>
    <w:p>
      <w:pPr>
        <w:ind w:firstLine="883"/>
        <w:rPr>
          <w:rFonts w:cs="Times New Roman"/>
          <w:b/>
          <w:bCs/>
          <w:sz w:val="44"/>
          <w:szCs w:val="44"/>
        </w:rPr>
      </w:pPr>
    </w:p>
    <w:p>
      <w:pPr>
        <w:ind w:firstLine="883"/>
        <w:rPr>
          <w:rFonts w:cs="Times New Roman"/>
          <w:b/>
          <w:bCs/>
          <w:sz w:val="44"/>
          <w:szCs w:val="44"/>
        </w:rPr>
      </w:pPr>
    </w:p>
    <w:p>
      <w:pPr>
        <w:ind w:firstLine="883"/>
        <w:rPr>
          <w:rFonts w:cs="Times New Roman"/>
          <w:b/>
          <w:bCs/>
          <w:sz w:val="44"/>
          <w:szCs w:val="44"/>
        </w:rPr>
      </w:pPr>
    </w:p>
    <w:p>
      <w:pPr>
        <w:jc w:val="center"/>
        <w:rPr>
          <w:rFonts w:cs="Times New Roman"/>
          <w:b/>
          <w:bCs/>
          <w:sz w:val="44"/>
          <w:szCs w:val="44"/>
        </w:rPr>
      </w:pPr>
      <w:r>
        <w:rPr>
          <w:rFonts w:ascii="微软雅黑" w:hAnsi="微软雅黑" w:eastAsia="微软雅黑" w:cs="Times New Roman"/>
          <w:b/>
          <w:bCs/>
          <w:sz w:val="36"/>
          <w:szCs w:val="36"/>
        </w:rPr>
        <w:t>宁波市</w:t>
      </w:r>
      <w:r>
        <w:rPr>
          <w:rFonts w:hint="eastAsia" w:ascii="微软雅黑" w:hAnsi="微软雅黑" w:eastAsia="微软雅黑" w:cs="Times New Roman"/>
          <w:b/>
          <w:bCs/>
          <w:sz w:val="36"/>
          <w:szCs w:val="36"/>
        </w:rPr>
        <w:t>江北</w:t>
      </w:r>
      <w:r>
        <w:rPr>
          <w:rFonts w:ascii="微软雅黑" w:hAnsi="微软雅黑" w:eastAsia="微软雅黑" w:cs="Times New Roman"/>
          <w:b/>
          <w:bCs/>
          <w:sz w:val="36"/>
          <w:szCs w:val="36"/>
        </w:rPr>
        <w:t>区人民政府</w:t>
      </w:r>
    </w:p>
    <w:p>
      <w:pPr>
        <w:jc w:val="center"/>
        <w:rPr>
          <w:rFonts w:ascii="微软雅黑" w:hAnsi="微软雅黑" w:eastAsia="微软雅黑" w:cs="Times New Roman"/>
          <w:b/>
          <w:bCs/>
          <w:sz w:val="36"/>
          <w:szCs w:val="36"/>
        </w:rPr>
      </w:pPr>
      <w:bookmarkStart w:id="1" w:name="OLE_LINK15"/>
      <w:bookmarkStart w:id="2" w:name="OLE_LINK14"/>
      <w:r>
        <w:rPr>
          <w:rFonts w:ascii="微软雅黑" w:hAnsi="微软雅黑" w:eastAsia="微软雅黑" w:cs="Times New Roman"/>
          <w:b/>
          <w:bCs/>
          <w:sz w:val="36"/>
          <w:szCs w:val="36"/>
        </w:rPr>
        <w:t>二零</w:t>
      </w:r>
      <w:r>
        <w:rPr>
          <w:rFonts w:hint="eastAsia" w:ascii="微软雅黑" w:hAnsi="微软雅黑" w:eastAsia="微软雅黑" w:cs="Times New Roman"/>
          <w:b/>
          <w:bCs/>
          <w:sz w:val="36"/>
          <w:szCs w:val="36"/>
        </w:rPr>
        <w:t>二一</w:t>
      </w:r>
      <w:r>
        <w:rPr>
          <w:rFonts w:ascii="微软雅黑" w:hAnsi="微软雅黑" w:eastAsia="微软雅黑" w:cs="Times New Roman"/>
          <w:b/>
          <w:bCs/>
          <w:sz w:val="36"/>
          <w:szCs w:val="36"/>
        </w:rPr>
        <w:t>年</w:t>
      </w:r>
      <w:r>
        <w:rPr>
          <w:rFonts w:hint="eastAsia" w:ascii="微软雅黑" w:hAnsi="微软雅黑" w:eastAsia="微软雅黑" w:cs="Times New Roman"/>
          <w:b/>
          <w:bCs/>
          <w:sz w:val="36"/>
          <w:szCs w:val="36"/>
          <w:lang w:val="en-US" w:eastAsia="zh-CN"/>
        </w:rPr>
        <w:t>三</w:t>
      </w:r>
      <w:bookmarkStart w:id="84" w:name="_GoBack"/>
      <w:bookmarkEnd w:id="84"/>
      <w:r>
        <w:rPr>
          <w:rFonts w:ascii="微软雅黑" w:hAnsi="微软雅黑" w:eastAsia="微软雅黑" w:cs="Times New Roman"/>
          <w:b/>
          <w:bCs/>
          <w:sz w:val="36"/>
          <w:szCs w:val="36"/>
        </w:rPr>
        <w:t>月</w:t>
      </w:r>
    </w:p>
    <w:p>
      <w:pPr>
        <w:ind w:firstLine="720"/>
        <w:jc w:val="center"/>
        <w:rPr>
          <w:rFonts w:ascii="微软雅黑" w:hAnsi="微软雅黑" w:eastAsia="微软雅黑" w:cs="Times New Roman"/>
          <w:b/>
          <w:bCs/>
          <w:sz w:val="36"/>
          <w:szCs w:val="36"/>
        </w:rPr>
        <w:sectPr>
          <w:headerReference r:id="rId3" w:type="default"/>
          <w:footerReference r:id="rId4" w:type="default"/>
          <w:pgSz w:w="11906" w:h="16838"/>
          <w:pgMar w:top="1440" w:right="1800" w:bottom="1440" w:left="1800" w:header="851" w:footer="992" w:gutter="0"/>
          <w:cols w:space="425" w:num="1"/>
          <w:docGrid w:type="lines" w:linePitch="312" w:charSpace="0"/>
        </w:sectPr>
      </w:pPr>
    </w:p>
    <w:bookmarkEnd w:id="1"/>
    <w:bookmarkEnd w:id="2"/>
    <w:p>
      <w:pPr>
        <w:keepNext/>
        <w:keepLines/>
        <w:tabs>
          <w:tab w:val="left" w:pos="0"/>
        </w:tabs>
        <w:spacing w:line="384" w:lineRule="auto"/>
        <w:ind w:left="420" w:firstLine="643"/>
        <w:outlineLvl w:val="0"/>
        <w:rPr>
          <w:rFonts w:cs="Times New Roman"/>
          <w:b/>
          <w:bCs/>
          <w:kern w:val="44"/>
          <w:sz w:val="32"/>
          <w:szCs w:val="44"/>
        </w:rPr>
      </w:pPr>
      <w:r>
        <w:rPr>
          <w:rFonts w:cs="Times New Roman"/>
          <w:b/>
          <w:bCs/>
          <w:kern w:val="44"/>
          <w:sz w:val="32"/>
          <w:szCs w:val="44"/>
        </w:rPr>
        <w:t xml:space="preserve">                </w:t>
      </w:r>
      <w:bookmarkStart w:id="3" w:name="_Toc503535037"/>
      <w:bookmarkStart w:id="4" w:name="_Toc9955845"/>
      <w:bookmarkStart w:id="5" w:name="_Toc10018017"/>
      <w:bookmarkStart w:id="6" w:name="_Toc66031089"/>
      <w:r>
        <w:rPr>
          <w:rFonts w:cs="Times New Roman"/>
          <w:b/>
          <w:bCs/>
          <w:kern w:val="44"/>
          <w:sz w:val="32"/>
          <w:szCs w:val="44"/>
        </w:rPr>
        <w:t>前言</w:t>
      </w:r>
      <w:bookmarkEnd w:id="3"/>
      <w:bookmarkEnd w:id="4"/>
      <w:bookmarkEnd w:id="5"/>
      <w:bookmarkEnd w:id="6"/>
    </w:p>
    <w:p>
      <w:pPr>
        <w:tabs>
          <w:tab w:val="center" w:pos="4153"/>
        </w:tabs>
        <w:ind w:firstLine="560"/>
        <w:rPr>
          <w:rFonts w:cs="Times New Roman"/>
          <w:szCs w:val="28"/>
        </w:rPr>
      </w:pPr>
      <w:r>
        <w:rPr>
          <w:rFonts w:hint="eastAsia" w:cs="Times New Roman"/>
          <w:szCs w:val="28"/>
        </w:rPr>
        <w:t>党的十九大报告指出必须树立和践行绿水青山就是金山银山理念，对生态文明建设和建设美丽中国提出一系列新思想、新要求、新目标和新部署。党的十九届五中全会提出完善生态文明领域统筹协调机制，构建生态文明体系，促进经济社会发展全面绿色转型，建设人与自然和谐共生的现代化，到2</w:t>
      </w:r>
      <w:r>
        <w:rPr>
          <w:rFonts w:cs="Times New Roman"/>
          <w:szCs w:val="28"/>
        </w:rPr>
        <w:t>035</w:t>
      </w:r>
      <w:r>
        <w:rPr>
          <w:rFonts w:hint="eastAsia" w:ascii="仿宋_GB2312" w:hAnsi="仿宋_GB2312" w:cs="仿宋_GB2312"/>
          <w:szCs w:val="28"/>
        </w:rPr>
        <w:t>年广泛形成绿色生产生活方式，碳排放达峰后</w:t>
      </w:r>
      <w:r>
        <w:rPr>
          <w:rFonts w:hint="eastAsia" w:cs="Times New Roman"/>
          <w:szCs w:val="28"/>
        </w:rPr>
        <w:t>稳中有降，生态环境根本好转，美丽中国建设目标基本实现。</w:t>
      </w:r>
    </w:p>
    <w:p>
      <w:pPr>
        <w:tabs>
          <w:tab w:val="center" w:pos="4153"/>
        </w:tabs>
        <w:ind w:firstLine="600" w:firstLineChars="200"/>
        <w:rPr>
          <w:rFonts w:cs="Times New Roman"/>
          <w:szCs w:val="28"/>
        </w:rPr>
      </w:pPr>
      <w:r>
        <w:rPr>
          <w:rFonts w:hint="eastAsia" w:cs="Times New Roman"/>
          <w:szCs w:val="28"/>
        </w:rPr>
        <w:t>浙江省高度重视生态文明建设，始终以“八八战略”为统领，坚持一张蓝图绘到底、一任接着一任干，一以贯之把生态文明建设放在突出位置，率先探索出了一条经济转型升级、资源高效利用、环境持续改善、城乡均衡和谐的绿色高质量发展之路。</w:t>
      </w:r>
      <w:r>
        <w:rPr>
          <w:rFonts w:cs="Times New Roman"/>
          <w:szCs w:val="28"/>
        </w:rPr>
        <w:t>宁波市</w:t>
      </w:r>
      <w:r>
        <w:rPr>
          <w:rFonts w:hint="eastAsia" w:cs="Times New Roman"/>
          <w:szCs w:val="28"/>
        </w:rPr>
        <w:t>坚持“生态立市”不动摇，始终把生态文明建设作为全市重大战略部署来抓，市委常委会第1</w:t>
      </w:r>
      <w:r>
        <w:rPr>
          <w:rFonts w:cs="Times New Roman"/>
          <w:szCs w:val="28"/>
        </w:rPr>
        <w:t>26次会议上提出</w:t>
      </w:r>
      <w:r>
        <w:rPr>
          <w:rFonts w:hint="eastAsia" w:cs="Times New Roman"/>
          <w:szCs w:val="28"/>
        </w:rPr>
        <w:t>“生态文明建设要先行示范，努力建设更高水平的美丽宁波”。</w:t>
      </w:r>
    </w:p>
    <w:p>
      <w:pPr>
        <w:tabs>
          <w:tab w:val="center" w:pos="4153"/>
        </w:tabs>
        <w:ind w:firstLine="600" w:firstLineChars="200"/>
        <w:rPr>
          <w:rFonts w:cs="Times New Roman"/>
          <w:szCs w:val="28"/>
        </w:rPr>
      </w:pPr>
      <w:r>
        <w:rPr>
          <w:rFonts w:hint="eastAsia" w:cs="Times New Roman"/>
          <w:szCs w:val="28"/>
        </w:rPr>
        <w:t>2020年3月29日至4月1日，习近平总书记在浙江、宁波考察调研并发表重要，赋予浙江“努力成为新时代全面展示中国特色社会主义制度优越性的重要窗口”的新目标新定位，勉励宁波继续与杭州唱好“双城记”，当好浙江建设“重要窗口”模范生，为高水平建设美丽宁波指明了方向，提供了思想指南和实践动力。</w:t>
      </w:r>
    </w:p>
    <w:p>
      <w:pPr>
        <w:tabs>
          <w:tab w:val="center" w:pos="4153"/>
        </w:tabs>
        <w:ind w:firstLine="600" w:firstLineChars="200"/>
        <w:rPr>
          <w:rFonts w:cs="Times New Roman"/>
          <w:szCs w:val="28"/>
        </w:rPr>
      </w:pPr>
      <w:r>
        <w:rPr>
          <w:rFonts w:hint="eastAsia" w:cs="Times New Roman"/>
          <w:szCs w:val="28"/>
        </w:rPr>
        <w:t>江北区在九届九次全会中提出努力在宁波当好浙江建设“重要窗口”模范生中争创实践样板，并将积极创建国家生态文明建设示范区列入十大标志性工作，决心以生态文明建设示范区创建为载体，持之以恒推进生态文明建设，打造生态文明建设江北样板，进一步巩固、深化和提升生态建设成果，对加快建设江北生态文明建设具有十分重要的意义。</w:t>
      </w:r>
    </w:p>
    <w:p>
      <w:pPr>
        <w:tabs>
          <w:tab w:val="center" w:pos="4153"/>
        </w:tabs>
        <w:ind w:firstLine="600" w:firstLineChars="200"/>
        <w:rPr>
          <w:rFonts w:cs="Times New Roman"/>
          <w:szCs w:val="28"/>
        </w:rPr>
      </w:pPr>
      <w:r>
        <w:rPr>
          <w:rFonts w:hint="eastAsia" w:cs="Times New Roman"/>
          <w:szCs w:val="28"/>
        </w:rPr>
        <w:t>在此背景下，江北区根据《国家生态文明建设示范市县建设指标》（环生态〔2019〕76号）、《浙江省生态文明建设示范市县建设指标》（浙美丽办〔2019〕26号）等文件要求，组织编制了《宁波市江北区生态文明建设规划（20</w:t>
      </w:r>
      <w:r>
        <w:rPr>
          <w:rFonts w:cs="Times New Roman"/>
          <w:szCs w:val="28"/>
        </w:rPr>
        <w:t>20</w:t>
      </w:r>
      <w:r>
        <w:rPr>
          <w:rFonts w:hint="eastAsia" w:cs="Times New Roman"/>
          <w:szCs w:val="28"/>
        </w:rPr>
        <w:t>-20</w:t>
      </w:r>
      <w:r>
        <w:rPr>
          <w:rFonts w:cs="Times New Roman"/>
          <w:szCs w:val="28"/>
        </w:rPr>
        <w:t>30</w:t>
      </w:r>
      <w:r>
        <w:rPr>
          <w:rFonts w:hint="eastAsia" w:cs="Times New Roman"/>
          <w:szCs w:val="28"/>
        </w:rPr>
        <w:t>年）》。《规划》立足江北区自身优势，通过生态制度、生态安全、生态空间、生态经济、生态生活、生态文化六大体系建设，进一步打开“两山”转化通道，以高水平的生态保护促进高质量发展，为建设生态文明示范区提供强有力保障。</w:t>
      </w:r>
    </w:p>
    <w:p>
      <w:pPr>
        <w:tabs>
          <w:tab w:val="center" w:pos="4153"/>
        </w:tabs>
        <w:ind w:firstLine="600" w:firstLineChars="200"/>
        <w:rPr>
          <w:rFonts w:cs="Times New Roman"/>
          <w:szCs w:val="28"/>
        </w:rPr>
        <w:sectPr>
          <w:footerReference r:id="rId5" w:type="default"/>
          <w:pgSz w:w="11906" w:h="16838"/>
          <w:pgMar w:top="1440" w:right="1800" w:bottom="1440" w:left="1800" w:header="851" w:footer="992" w:gutter="0"/>
          <w:pgNumType w:fmt="upperRoman" w:start="1"/>
          <w:cols w:space="425" w:num="1"/>
          <w:docGrid w:type="lines" w:linePitch="312" w:charSpace="0"/>
        </w:sectPr>
      </w:pPr>
    </w:p>
    <w:sdt>
      <w:sdtPr>
        <w:rPr>
          <w:rFonts w:asciiTheme="minorHAnsi" w:hAnsiTheme="minorHAnsi" w:eastAsiaTheme="minorEastAsia" w:cstheme="minorBidi"/>
          <w:color w:val="auto"/>
          <w:kern w:val="2"/>
          <w:sz w:val="21"/>
          <w:szCs w:val="22"/>
          <w:lang w:val="zh-CN"/>
        </w:rPr>
        <w:id w:val="-2089226809"/>
        <w:docPartObj>
          <w:docPartGallery w:val="Table of Contents"/>
          <w:docPartUnique/>
        </w:docPartObj>
      </w:sdtPr>
      <w:sdtEndPr>
        <w:rPr>
          <w:rFonts w:ascii="Times New Roman" w:hAnsi="Times New Roman" w:eastAsia="仿宋_GB2312" w:cstheme="minorBidi"/>
          <w:b/>
          <w:bCs/>
          <w:color w:val="auto"/>
          <w:kern w:val="2"/>
          <w:sz w:val="30"/>
          <w:szCs w:val="22"/>
          <w:lang w:val="zh-CN"/>
        </w:rPr>
      </w:sdtEndPr>
      <w:sdtContent>
        <w:p>
          <w:pPr>
            <w:pStyle w:val="43"/>
            <w:jc w:val="center"/>
            <w:rPr>
              <w:rFonts w:ascii="楷体" w:hAnsi="楷体" w:eastAsia="楷体"/>
              <w:color w:val="000000" w:themeColor="text1"/>
              <w14:textFill>
                <w14:solidFill>
                  <w14:schemeClr w14:val="tx1"/>
                </w14:solidFill>
              </w14:textFill>
            </w:rPr>
          </w:pPr>
          <w:r>
            <w:rPr>
              <w:rFonts w:ascii="楷体" w:hAnsi="楷体" w:eastAsia="楷体"/>
              <w:color w:val="000000" w:themeColor="text1"/>
              <w:lang w:val="zh-CN"/>
              <w14:textFill>
                <w14:solidFill>
                  <w14:schemeClr w14:val="tx1"/>
                </w14:solidFill>
              </w14:textFill>
            </w:rPr>
            <w:t>目录</w:t>
          </w:r>
        </w:p>
        <w:p>
          <w:pPr>
            <w:pStyle w:val="18"/>
            <w:tabs>
              <w:tab w:val="right" w:leader="dot" w:pos="8296"/>
            </w:tabs>
            <w:rPr>
              <w:rFonts w:asciiTheme="minorHAnsi" w:hAnsiTheme="minorHAnsi" w:eastAsiaTheme="minorEastAsia" w:cstheme="minorBidi"/>
              <w:sz w:val="21"/>
              <w:szCs w:val="22"/>
            </w:rPr>
          </w:pPr>
          <w:r>
            <w:rPr>
              <w:rFonts w:ascii="楷体" w:hAnsi="楷体" w:eastAsia="楷体"/>
              <w:sz w:val="24"/>
              <w:szCs w:val="24"/>
            </w:rPr>
            <w:fldChar w:fldCharType="begin"/>
          </w:r>
          <w:r>
            <w:rPr>
              <w:rFonts w:ascii="楷体" w:hAnsi="楷体" w:eastAsia="楷体"/>
              <w:sz w:val="24"/>
              <w:szCs w:val="24"/>
            </w:rPr>
            <w:instrText xml:space="preserve"> TOC \o "1-3" \h \z \u </w:instrText>
          </w:r>
          <w:r>
            <w:rPr>
              <w:rFonts w:ascii="楷体" w:hAnsi="楷体" w:eastAsia="楷体"/>
              <w:sz w:val="24"/>
              <w:szCs w:val="24"/>
            </w:rPr>
            <w:fldChar w:fldCharType="separate"/>
          </w:r>
          <w:r>
            <w:fldChar w:fldCharType="begin"/>
          </w:r>
          <w:r>
            <w:instrText xml:space="preserve"> HYPERLINK \l "_Toc66031089" </w:instrText>
          </w:r>
          <w:r>
            <w:fldChar w:fldCharType="separate"/>
          </w:r>
          <w:r>
            <w:rPr>
              <w:rStyle w:val="28"/>
              <w:rFonts w:hint="eastAsia"/>
              <w:bCs/>
              <w:kern w:val="44"/>
            </w:rPr>
            <w:t>前言</w:t>
          </w:r>
          <w:r>
            <w:tab/>
          </w:r>
          <w:r>
            <w:fldChar w:fldCharType="begin"/>
          </w:r>
          <w:r>
            <w:instrText xml:space="preserve"> PAGEREF _Toc66031089 \h </w:instrText>
          </w:r>
          <w:r>
            <w:fldChar w:fldCharType="separate"/>
          </w:r>
          <w:r>
            <w:t>I</w:t>
          </w:r>
          <w:r>
            <w:fldChar w:fldCharType="end"/>
          </w:r>
          <w:r>
            <w:fldChar w:fldCharType="end"/>
          </w:r>
        </w:p>
        <w:p>
          <w:pPr>
            <w:pStyle w:val="18"/>
            <w:tabs>
              <w:tab w:val="right" w:leader="dot" w:pos="8296"/>
            </w:tabs>
            <w:rPr>
              <w:rFonts w:asciiTheme="minorHAnsi" w:hAnsiTheme="minorHAnsi" w:eastAsiaTheme="minorEastAsia" w:cstheme="minorBidi"/>
              <w:sz w:val="21"/>
              <w:szCs w:val="22"/>
            </w:rPr>
          </w:pPr>
          <w:r>
            <w:fldChar w:fldCharType="begin"/>
          </w:r>
          <w:r>
            <w:instrText xml:space="preserve"> HYPERLINK \l "_Toc66031090" </w:instrText>
          </w:r>
          <w:r>
            <w:fldChar w:fldCharType="separate"/>
          </w:r>
          <w:r>
            <w:rPr>
              <w:rStyle w:val="28"/>
              <w:rFonts w:hint="eastAsia"/>
            </w:rPr>
            <w:t>第一章 工作基础与形势分析</w:t>
          </w:r>
          <w:r>
            <w:tab/>
          </w:r>
          <w:r>
            <w:fldChar w:fldCharType="begin"/>
          </w:r>
          <w:r>
            <w:instrText xml:space="preserve"> PAGEREF _Toc66031090 \h </w:instrText>
          </w:r>
          <w:r>
            <w:fldChar w:fldCharType="separate"/>
          </w:r>
          <w:r>
            <w:t>1</w:t>
          </w:r>
          <w:r>
            <w:fldChar w:fldCharType="end"/>
          </w:r>
          <w:r>
            <w:fldChar w:fldCharType="end"/>
          </w:r>
        </w:p>
        <w:p>
          <w:pPr>
            <w:pStyle w:val="20"/>
            <w:tabs>
              <w:tab w:val="left" w:pos="1680"/>
              <w:tab w:val="right" w:leader="dot" w:pos="8296"/>
            </w:tabs>
            <w:ind w:left="600"/>
            <w:rPr>
              <w:rFonts w:asciiTheme="minorHAnsi" w:hAnsiTheme="minorHAnsi" w:eastAsiaTheme="minorEastAsia" w:cstheme="minorBidi"/>
              <w:sz w:val="21"/>
              <w:szCs w:val="22"/>
            </w:rPr>
          </w:pPr>
          <w:r>
            <w:fldChar w:fldCharType="begin"/>
          </w:r>
          <w:r>
            <w:instrText xml:space="preserve"> HYPERLINK \l "_Toc66031091" </w:instrText>
          </w:r>
          <w:r>
            <w:fldChar w:fldCharType="separate"/>
          </w:r>
          <w:r>
            <w:rPr>
              <w:rStyle w:val="28"/>
              <w:rFonts w:hint="eastAsia"/>
            </w:rPr>
            <w:t>第一节</w:t>
          </w:r>
          <w:r>
            <w:rPr>
              <w:rFonts w:asciiTheme="minorHAnsi" w:hAnsiTheme="minorHAnsi" w:eastAsiaTheme="minorEastAsia" w:cstheme="minorBidi"/>
              <w:sz w:val="21"/>
              <w:szCs w:val="22"/>
            </w:rPr>
            <w:tab/>
          </w:r>
          <w:r>
            <w:rPr>
              <w:rStyle w:val="28"/>
              <w:rFonts w:hint="eastAsia"/>
            </w:rPr>
            <w:t>区域概况与建设基础</w:t>
          </w:r>
          <w:r>
            <w:tab/>
          </w:r>
          <w:r>
            <w:fldChar w:fldCharType="begin"/>
          </w:r>
          <w:r>
            <w:instrText xml:space="preserve"> PAGEREF _Toc66031091 \h </w:instrText>
          </w:r>
          <w:r>
            <w:fldChar w:fldCharType="separate"/>
          </w:r>
          <w:r>
            <w:t>1</w:t>
          </w:r>
          <w:r>
            <w:fldChar w:fldCharType="end"/>
          </w:r>
          <w:r>
            <w:fldChar w:fldCharType="end"/>
          </w:r>
        </w:p>
        <w:p>
          <w:pPr>
            <w:pStyle w:val="20"/>
            <w:tabs>
              <w:tab w:val="left" w:pos="1680"/>
              <w:tab w:val="right" w:leader="dot" w:pos="8296"/>
            </w:tabs>
            <w:ind w:left="600"/>
            <w:rPr>
              <w:rFonts w:asciiTheme="minorHAnsi" w:hAnsiTheme="minorHAnsi" w:eastAsiaTheme="minorEastAsia" w:cstheme="minorBidi"/>
              <w:sz w:val="21"/>
              <w:szCs w:val="22"/>
            </w:rPr>
          </w:pPr>
          <w:r>
            <w:fldChar w:fldCharType="begin"/>
          </w:r>
          <w:r>
            <w:instrText xml:space="preserve"> HYPERLINK \l "_Toc66031092" </w:instrText>
          </w:r>
          <w:r>
            <w:fldChar w:fldCharType="separate"/>
          </w:r>
          <w:r>
            <w:rPr>
              <w:rStyle w:val="28"/>
              <w:rFonts w:hint="eastAsia"/>
            </w:rPr>
            <w:t>第二节</w:t>
          </w:r>
          <w:r>
            <w:rPr>
              <w:rFonts w:asciiTheme="minorHAnsi" w:hAnsiTheme="minorHAnsi" w:eastAsiaTheme="minorEastAsia" w:cstheme="minorBidi"/>
              <w:sz w:val="21"/>
              <w:szCs w:val="22"/>
            </w:rPr>
            <w:tab/>
          </w:r>
          <w:r>
            <w:rPr>
              <w:rStyle w:val="28"/>
              <w:rFonts w:hint="eastAsia"/>
            </w:rPr>
            <w:t>存在问题与压力预测</w:t>
          </w:r>
          <w:r>
            <w:tab/>
          </w:r>
          <w:r>
            <w:fldChar w:fldCharType="begin"/>
          </w:r>
          <w:r>
            <w:instrText xml:space="preserve"> PAGEREF _Toc66031092 \h </w:instrText>
          </w:r>
          <w:r>
            <w:fldChar w:fldCharType="separate"/>
          </w:r>
          <w:r>
            <w:t>5</w:t>
          </w:r>
          <w:r>
            <w:fldChar w:fldCharType="end"/>
          </w:r>
          <w:r>
            <w:fldChar w:fldCharType="end"/>
          </w:r>
        </w:p>
        <w:p>
          <w:pPr>
            <w:pStyle w:val="20"/>
            <w:tabs>
              <w:tab w:val="left" w:pos="1680"/>
              <w:tab w:val="right" w:leader="dot" w:pos="8296"/>
            </w:tabs>
            <w:ind w:left="600"/>
            <w:rPr>
              <w:rFonts w:asciiTheme="minorHAnsi" w:hAnsiTheme="minorHAnsi" w:eastAsiaTheme="minorEastAsia" w:cstheme="minorBidi"/>
              <w:sz w:val="21"/>
              <w:szCs w:val="22"/>
            </w:rPr>
          </w:pPr>
          <w:r>
            <w:fldChar w:fldCharType="begin"/>
          </w:r>
          <w:r>
            <w:instrText xml:space="preserve"> HYPERLINK \l "_Toc66031093" </w:instrText>
          </w:r>
          <w:r>
            <w:fldChar w:fldCharType="separate"/>
          </w:r>
          <w:r>
            <w:rPr>
              <w:rStyle w:val="28"/>
              <w:rFonts w:hint="eastAsia"/>
            </w:rPr>
            <w:t>第三节</w:t>
          </w:r>
          <w:r>
            <w:rPr>
              <w:rFonts w:asciiTheme="minorHAnsi" w:hAnsiTheme="minorHAnsi" w:eastAsiaTheme="minorEastAsia" w:cstheme="minorBidi"/>
              <w:sz w:val="21"/>
              <w:szCs w:val="22"/>
            </w:rPr>
            <w:tab/>
          </w:r>
          <w:r>
            <w:rPr>
              <w:rStyle w:val="28"/>
              <w:rFonts w:hint="eastAsia"/>
            </w:rPr>
            <w:t>面临的机遇与挑战</w:t>
          </w:r>
          <w:r>
            <w:tab/>
          </w:r>
          <w:r>
            <w:fldChar w:fldCharType="begin"/>
          </w:r>
          <w:r>
            <w:instrText xml:space="preserve"> PAGEREF _Toc66031093 \h </w:instrText>
          </w:r>
          <w:r>
            <w:fldChar w:fldCharType="separate"/>
          </w:r>
          <w:r>
            <w:t>6</w:t>
          </w:r>
          <w:r>
            <w:fldChar w:fldCharType="end"/>
          </w:r>
          <w:r>
            <w:fldChar w:fldCharType="end"/>
          </w:r>
        </w:p>
        <w:p>
          <w:pPr>
            <w:pStyle w:val="18"/>
            <w:tabs>
              <w:tab w:val="right" w:leader="dot" w:pos="8296"/>
            </w:tabs>
            <w:rPr>
              <w:rFonts w:asciiTheme="minorHAnsi" w:hAnsiTheme="minorHAnsi" w:eastAsiaTheme="minorEastAsia" w:cstheme="minorBidi"/>
              <w:sz w:val="21"/>
              <w:szCs w:val="22"/>
            </w:rPr>
          </w:pPr>
          <w:r>
            <w:fldChar w:fldCharType="begin"/>
          </w:r>
          <w:r>
            <w:instrText xml:space="preserve"> HYPERLINK \l "_Toc66031094" </w:instrText>
          </w:r>
          <w:r>
            <w:fldChar w:fldCharType="separate"/>
          </w:r>
          <w:r>
            <w:rPr>
              <w:rStyle w:val="28"/>
              <w:rFonts w:hint="eastAsia"/>
            </w:rPr>
            <w:t>第二章 规划总则</w:t>
          </w:r>
          <w:r>
            <w:tab/>
          </w:r>
          <w:r>
            <w:fldChar w:fldCharType="begin"/>
          </w:r>
          <w:r>
            <w:instrText xml:space="preserve"> PAGEREF _Toc66031094 \h </w:instrText>
          </w:r>
          <w:r>
            <w:fldChar w:fldCharType="separate"/>
          </w:r>
          <w:r>
            <w:t>8</w:t>
          </w:r>
          <w:r>
            <w:fldChar w:fldCharType="end"/>
          </w:r>
          <w:r>
            <w:fldChar w:fldCharType="end"/>
          </w:r>
        </w:p>
        <w:p>
          <w:pPr>
            <w:pStyle w:val="20"/>
            <w:tabs>
              <w:tab w:val="left" w:pos="1680"/>
              <w:tab w:val="right" w:leader="dot" w:pos="8296"/>
            </w:tabs>
            <w:ind w:left="600"/>
            <w:rPr>
              <w:rFonts w:asciiTheme="minorHAnsi" w:hAnsiTheme="minorHAnsi" w:eastAsiaTheme="minorEastAsia" w:cstheme="minorBidi"/>
              <w:sz w:val="21"/>
              <w:szCs w:val="22"/>
            </w:rPr>
          </w:pPr>
          <w:r>
            <w:fldChar w:fldCharType="begin"/>
          </w:r>
          <w:r>
            <w:instrText xml:space="preserve"> HYPERLINK \l "_Toc66031095" </w:instrText>
          </w:r>
          <w:r>
            <w:fldChar w:fldCharType="separate"/>
          </w:r>
          <w:r>
            <w:rPr>
              <w:rStyle w:val="28"/>
              <w:rFonts w:hint="eastAsia"/>
            </w:rPr>
            <w:t>第一节</w:t>
          </w:r>
          <w:r>
            <w:rPr>
              <w:rFonts w:asciiTheme="minorHAnsi" w:hAnsiTheme="minorHAnsi" w:eastAsiaTheme="minorEastAsia" w:cstheme="minorBidi"/>
              <w:sz w:val="21"/>
              <w:szCs w:val="22"/>
            </w:rPr>
            <w:tab/>
          </w:r>
          <w:r>
            <w:rPr>
              <w:rStyle w:val="28"/>
              <w:rFonts w:hint="eastAsia"/>
            </w:rPr>
            <w:t>指导思想</w:t>
          </w:r>
          <w:r>
            <w:tab/>
          </w:r>
          <w:r>
            <w:fldChar w:fldCharType="begin"/>
          </w:r>
          <w:r>
            <w:instrText xml:space="preserve"> PAGEREF _Toc66031095 \h </w:instrText>
          </w:r>
          <w:r>
            <w:fldChar w:fldCharType="separate"/>
          </w:r>
          <w:r>
            <w:t>8</w:t>
          </w:r>
          <w:r>
            <w:fldChar w:fldCharType="end"/>
          </w:r>
          <w:r>
            <w:fldChar w:fldCharType="end"/>
          </w:r>
        </w:p>
        <w:p>
          <w:pPr>
            <w:pStyle w:val="20"/>
            <w:tabs>
              <w:tab w:val="left" w:pos="1680"/>
              <w:tab w:val="right" w:leader="dot" w:pos="8296"/>
            </w:tabs>
            <w:ind w:left="600"/>
            <w:rPr>
              <w:rFonts w:asciiTheme="minorHAnsi" w:hAnsiTheme="minorHAnsi" w:eastAsiaTheme="minorEastAsia" w:cstheme="minorBidi"/>
              <w:sz w:val="21"/>
              <w:szCs w:val="22"/>
            </w:rPr>
          </w:pPr>
          <w:r>
            <w:fldChar w:fldCharType="begin"/>
          </w:r>
          <w:r>
            <w:instrText xml:space="preserve"> HYPERLINK \l "_Toc66031096" </w:instrText>
          </w:r>
          <w:r>
            <w:fldChar w:fldCharType="separate"/>
          </w:r>
          <w:r>
            <w:rPr>
              <w:rStyle w:val="28"/>
              <w:rFonts w:hint="eastAsia"/>
            </w:rPr>
            <w:t>第二节</w:t>
          </w:r>
          <w:r>
            <w:rPr>
              <w:rFonts w:asciiTheme="minorHAnsi" w:hAnsiTheme="minorHAnsi" w:eastAsiaTheme="minorEastAsia" w:cstheme="minorBidi"/>
              <w:sz w:val="21"/>
              <w:szCs w:val="22"/>
            </w:rPr>
            <w:tab/>
          </w:r>
          <w:r>
            <w:rPr>
              <w:rStyle w:val="28"/>
              <w:rFonts w:hint="eastAsia"/>
            </w:rPr>
            <w:t>规划原则</w:t>
          </w:r>
          <w:r>
            <w:tab/>
          </w:r>
          <w:r>
            <w:fldChar w:fldCharType="begin"/>
          </w:r>
          <w:r>
            <w:instrText xml:space="preserve"> PAGEREF _Toc66031096 \h </w:instrText>
          </w:r>
          <w:r>
            <w:fldChar w:fldCharType="separate"/>
          </w:r>
          <w:r>
            <w:t>8</w:t>
          </w:r>
          <w:r>
            <w:fldChar w:fldCharType="end"/>
          </w:r>
          <w:r>
            <w:fldChar w:fldCharType="end"/>
          </w:r>
        </w:p>
        <w:p>
          <w:pPr>
            <w:pStyle w:val="20"/>
            <w:tabs>
              <w:tab w:val="left" w:pos="1680"/>
              <w:tab w:val="right" w:leader="dot" w:pos="8296"/>
            </w:tabs>
            <w:ind w:left="600"/>
            <w:rPr>
              <w:rFonts w:asciiTheme="minorHAnsi" w:hAnsiTheme="minorHAnsi" w:eastAsiaTheme="minorEastAsia" w:cstheme="minorBidi"/>
              <w:sz w:val="21"/>
              <w:szCs w:val="22"/>
            </w:rPr>
          </w:pPr>
          <w:r>
            <w:fldChar w:fldCharType="begin"/>
          </w:r>
          <w:r>
            <w:instrText xml:space="preserve"> HYPERLINK \l "_Toc66031097" </w:instrText>
          </w:r>
          <w:r>
            <w:fldChar w:fldCharType="separate"/>
          </w:r>
          <w:r>
            <w:rPr>
              <w:rStyle w:val="28"/>
              <w:rFonts w:hint="eastAsia"/>
            </w:rPr>
            <w:t>第三节</w:t>
          </w:r>
          <w:r>
            <w:rPr>
              <w:rFonts w:asciiTheme="minorHAnsi" w:hAnsiTheme="minorHAnsi" w:eastAsiaTheme="minorEastAsia" w:cstheme="minorBidi"/>
              <w:sz w:val="21"/>
              <w:szCs w:val="22"/>
            </w:rPr>
            <w:tab/>
          </w:r>
          <w:r>
            <w:rPr>
              <w:rStyle w:val="28"/>
              <w:rFonts w:hint="eastAsia"/>
            </w:rPr>
            <w:t>规划范围与期限</w:t>
          </w:r>
          <w:r>
            <w:tab/>
          </w:r>
          <w:r>
            <w:fldChar w:fldCharType="begin"/>
          </w:r>
          <w:r>
            <w:instrText xml:space="preserve"> PAGEREF _Toc66031097 \h </w:instrText>
          </w:r>
          <w:r>
            <w:fldChar w:fldCharType="separate"/>
          </w:r>
          <w:r>
            <w:t>9</w:t>
          </w:r>
          <w:r>
            <w:fldChar w:fldCharType="end"/>
          </w:r>
          <w:r>
            <w:fldChar w:fldCharType="end"/>
          </w:r>
        </w:p>
        <w:p>
          <w:pPr>
            <w:pStyle w:val="18"/>
            <w:tabs>
              <w:tab w:val="right" w:leader="dot" w:pos="8296"/>
            </w:tabs>
            <w:rPr>
              <w:rFonts w:asciiTheme="minorHAnsi" w:hAnsiTheme="minorHAnsi" w:eastAsiaTheme="minorEastAsia" w:cstheme="minorBidi"/>
              <w:sz w:val="21"/>
              <w:szCs w:val="22"/>
            </w:rPr>
          </w:pPr>
          <w:r>
            <w:fldChar w:fldCharType="begin"/>
          </w:r>
          <w:r>
            <w:instrText xml:space="preserve"> HYPERLINK \l "_Toc66031098" </w:instrText>
          </w:r>
          <w:r>
            <w:fldChar w:fldCharType="separate"/>
          </w:r>
          <w:r>
            <w:rPr>
              <w:rStyle w:val="28"/>
              <w:rFonts w:hint="eastAsia" w:eastAsia="仿宋_GB2312"/>
            </w:rPr>
            <w:t>第三章</w:t>
          </w:r>
          <w:r>
            <w:rPr>
              <w:rStyle w:val="28"/>
              <w:rFonts w:hint="eastAsia"/>
            </w:rPr>
            <w:t xml:space="preserve"> 规划</w:t>
          </w:r>
          <w:r>
            <w:rPr>
              <w:rStyle w:val="28"/>
              <w:rFonts w:hint="eastAsia" w:eastAsia="仿宋_GB2312"/>
            </w:rPr>
            <w:t>目标与指标</w:t>
          </w:r>
          <w:r>
            <w:tab/>
          </w:r>
          <w:r>
            <w:fldChar w:fldCharType="begin"/>
          </w:r>
          <w:r>
            <w:instrText xml:space="preserve"> PAGEREF _Toc66031098 \h </w:instrText>
          </w:r>
          <w:r>
            <w:fldChar w:fldCharType="separate"/>
          </w:r>
          <w:r>
            <w:t>10</w:t>
          </w:r>
          <w:r>
            <w:fldChar w:fldCharType="end"/>
          </w:r>
          <w:r>
            <w:fldChar w:fldCharType="end"/>
          </w:r>
        </w:p>
        <w:p>
          <w:pPr>
            <w:pStyle w:val="20"/>
            <w:tabs>
              <w:tab w:val="left" w:pos="1680"/>
              <w:tab w:val="right" w:leader="dot" w:pos="8296"/>
            </w:tabs>
            <w:ind w:left="600"/>
            <w:rPr>
              <w:rFonts w:asciiTheme="minorHAnsi" w:hAnsiTheme="minorHAnsi" w:eastAsiaTheme="minorEastAsia" w:cstheme="minorBidi"/>
              <w:sz w:val="21"/>
              <w:szCs w:val="22"/>
            </w:rPr>
          </w:pPr>
          <w:r>
            <w:fldChar w:fldCharType="begin"/>
          </w:r>
          <w:r>
            <w:instrText xml:space="preserve"> HYPERLINK \l "_Toc66031099" </w:instrText>
          </w:r>
          <w:r>
            <w:fldChar w:fldCharType="separate"/>
          </w:r>
          <w:r>
            <w:rPr>
              <w:rStyle w:val="28"/>
              <w:rFonts w:hint="eastAsia"/>
              <w:bCs/>
            </w:rPr>
            <w:t>第一节</w:t>
          </w:r>
          <w:r>
            <w:rPr>
              <w:rFonts w:asciiTheme="minorHAnsi" w:hAnsiTheme="minorHAnsi" w:eastAsiaTheme="minorEastAsia" w:cstheme="minorBidi"/>
              <w:sz w:val="21"/>
              <w:szCs w:val="22"/>
            </w:rPr>
            <w:tab/>
          </w:r>
          <w:r>
            <w:rPr>
              <w:rStyle w:val="28"/>
              <w:rFonts w:hint="eastAsia"/>
              <w:bCs/>
            </w:rPr>
            <w:t>规划目标</w:t>
          </w:r>
          <w:r>
            <w:tab/>
          </w:r>
          <w:r>
            <w:fldChar w:fldCharType="begin"/>
          </w:r>
          <w:r>
            <w:instrText xml:space="preserve"> PAGEREF _Toc66031099 \h </w:instrText>
          </w:r>
          <w:r>
            <w:fldChar w:fldCharType="separate"/>
          </w:r>
          <w:r>
            <w:t>10</w:t>
          </w:r>
          <w:r>
            <w:fldChar w:fldCharType="end"/>
          </w:r>
          <w:r>
            <w:fldChar w:fldCharType="end"/>
          </w:r>
        </w:p>
        <w:p>
          <w:pPr>
            <w:pStyle w:val="20"/>
            <w:tabs>
              <w:tab w:val="left" w:pos="1680"/>
              <w:tab w:val="right" w:leader="dot" w:pos="8296"/>
            </w:tabs>
            <w:ind w:left="600"/>
            <w:rPr>
              <w:rFonts w:asciiTheme="minorHAnsi" w:hAnsiTheme="minorHAnsi" w:eastAsiaTheme="minorEastAsia" w:cstheme="minorBidi"/>
              <w:sz w:val="21"/>
              <w:szCs w:val="22"/>
            </w:rPr>
          </w:pPr>
          <w:r>
            <w:fldChar w:fldCharType="begin"/>
          </w:r>
          <w:r>
            <w:instrText xml:space="preserve"> HYPERLINK \l "_Toc66031100" </w:instrText>
          </w:r>
          <w:r>
            <w:fldChar w:fldCharType="separate"/>
          </w:r>
          <w:r>
            <w:rPr>
              <w:rStyle w:val="28"/>
              <w:rFonts w:hint="eastAsia"/>
              <w:bCs/>
            </w:rPr>
            <w:t>第二节</w:t>
          </w:r>
          <w:r>
            <w:rPr>
              <w:rFonts w:asciiTheme="minorHAnsi" w:hAnsiTheme="minorHAnsi" w:eastAsiaTheme="minorEastAsia" w:cstheme="minorBidi"/>
              <w:sz w:val="21"/>
              <w:szCs w:val="22"/>
            </w:rPr>
            <w:tab/>
          </w:r>
          <w:r>
            <w:rPr>
              <w:rStyle w:val="28"/>
              <w:rFonts w:hint="eastAsia"/>
              <w:bCs/>
            </w:rPr>
            <w:t>建设指标</w:t>
          </w:r>
          <w:r>
            <w:tab/>
          </w:r>
          <w:r>
            <w:fldChar w:fldCharType="begin"/>
          </w:r>
          <w:r>
            <w:instrText xml:space="preserve"> PAGEREF _Toc66031100 \h </w:instrText>
          </w:r>
          <w:r>
            <w:fldChar w:fldCharType="separate"/>
          </w:r>
          <w:r>
            <w:t>12</w:t>
          </w:r>
          <w:r>
            <w:fldChar w:fldCharType="end"/>
          </w:r>
          <w:r>
            <w:fldChar w:fldCharType="end"/>
          </w:r>
        </w:p>
        <w:p>
          <w:pPr>
            <w:pStyle w:val="18"/>
            <w:tabs>
              <w:tab w:val="right" w:leader="dot" w:pos="8296"/>
            </w:tabs>
            <w:rPr>
              <w:rFonts w:asciiTheme="minorHAnsi" w:hAnsiTheme="minorHAnsi" w:eastAsiaTheme="minorEastAsia" w:cstheme="minorBidi"/>
              <w:sz w:val="21"/>
              <w:szCs w:val="22"/>
            </w:rPr>
          </w:pPr>
          <w:r>
            <w:fldChar w:fldCharType="begin"/>
          </w:r>
          <w:r>
            <w:instrText xml:space="preserve"> HYPERLINK \l "_Toc66031101" </w:instrText>
          </w:r>
          <w:r>
            <w:fldChar w:fldCharType="separate"/>
          </w:r>
          <w:r>
            <w:rPr>
              <w:rStyle w:val="28"/>
              <w:rFonts w:hint="eastAsia" w:eastAsia="仿宋_GB2312"/>
            </w:rPr>
            <w:t>第四章 构建系统完备的生态制度</w:t>
          </w:r>
          <w:r>
            <w:tab/>
          </w:r>
          <w:r>
            <w:fldChar w:fldCharType="begin"/>
          </w:r>
          <w:r>
            <w:instrText xml:space="preserve"> PAGEREF _Toc66031101 \h </w:instrText>
          </w:r>
          <w:r>
            <w:fldChar w:fldCharType="separate"/>
          </w:r>
          <w:r>
            <w:t>25</w:t>
          </w:r>
          <w:r>
            <w:fldChar w:fldCharType="end"/>
          </w:r>
          <w:r>
            <w:fldChar w:fldCharType="end"/>
          </w:r>
        </w:p>
        <w:p>
          <w:pPr>
            <w:pStyle w:val="20"/>
            <w:tabs>
              <w:tab w:val="left" w:pos="1680"/>
              <w:tab w:val="right" w:leader="dot" w:pos="8296"/>
            </w:tabs>
            <w:ind w:left="600"/>
            <w:rPr>
              <w:rFonts w:asciiTheme="minorHAnsi" w:hAnsiTheme="minorHAnsi" w:eastAsiaTheme="minorEastAsia" w:cstheme="minorBidi"/>
              <w:sz w:val="21"/>
              <w:szCs w:val="22"/>
            </w:rPr>
          </w:pPr>
          <w:r>
            <w:fldChar w:fldCharType="begin"/>
          </w:r>
          <w:r>
            <w:instrText xml:space="preserve"> HYPERLINK \l "_Toc66031102" </w:instrText>
          </w:r>
          <w:r>
            <w:fldChar w:fldCharType="separate"/>
          </w:r>
          <w:r>
            <w:rPr>
              <w:rStyle w:val="28"/>
              <w:rFonts w:hint="eastAsia"/>
            </w:rPr>
            <w:t>第一节</w:t>
          </w:r>
          <w:r>
            <w:rPr>
              <w:rFonts w:asciiTheme="minorHAnsi" w:hAnsiTheme="minorHAnsi" w:eastAsiaTheme="minorEastAsia" w:cstheme="minorBidi"/>
              <w:sz w:val="21"/>
              <w:szCs w:val="22"/>
            </w:rPr>
            <w:tab/>
          </w:r>
          <w:r>
            <w:rPr>
              <w:rStyle w:val="28"/>
              <w:rFonts w:hint="eastAsia"/>
            </w:rPr>
            <w:t>贯彻最</w:t>
          </w:r>
          <w:r>
            <w:rPr>
              <w:rStyle w:val="28"/>
              <w:rFonts w:hint="eastAsia"/>
              <w:bCs/>
            </w:rPr>
            <w:t>严格</w:t>
          </w:r>
          <w:r>
            <w:rPr>
              <w:rStyle w:val="28"/>
              <w:rFonts w:hint="eastAsia"/>
            </w:rPr>
            <w:t>的生态环境保护制度</w:t>
          </w:r>
          <w:r>
            <w:tab/>
          </w:r>
          <w:r>
            <w:fldChar w:fldCharType="begin"/>
          </w:r>
          <w:r>
            <w:instrText xml:space="preserve"> PAGEREF _Toc66031102 \h </w:instrText>
          </w:r>
          <w:r>
            <w:fldChar w:fldCharType="separate"/>
          </w:r>
          <w:r>
            <w:t>25</w:t>
          </w:r>
          <w:r>
            <w:fldChar w:fldCharType="end"/>
          </w:r>
          <w:r>
            <w:fldChar w:fldCharType="end"/>
          </w:r>
        </w:p>
        <w:p>
          <w:pPr>
            <w:pStyle w:val="20"/>
            <w:tabs>
              <w:tab w:val="left" w:pos="1680"/>
              <w:tab w:val="right" w:leader="dot" w:pos="8296"/>
            </w:tabs>
            <w:ind w:left="600"/>
            <w:rPr>
              <w:rFonts w:asciiTheme="minorHAnsi" w:hAnsiTheme="minorHAnsi" w:eastAsiaTheme="minorEastAsia" w:cstheme="minorBidi"/>
              <w:sz w:val="21"/>
              <w:szCs w:val="22"/>
            </w:rPr>
          </w:pPr>
          <w:r>
            <w:fldChar w:fldCharType="begin"/>
          </w:r>
          <w:r>
            <w:instrText xml:space="preserve"> HYPERLINK \l "_Toc66031103" </w:instrText>
          </w:r>
          <w:r>
            <w:fldChar w:fldCharType="separate"/>
          </w:r>
          <w:r>
            <w:rPr>
              <w:rStyle w:val="28"/>
              <w:rFonts w:hint="eastAsia"/>
            </w:rPr>
            <w:t>第二节</w:t>
          </w:r>
          <w:r>
            <w:rPr>
              <w:rFonts w:asciiTheme="minorHAnsi" w:hAnsiTheme="minorHAnsi" w:eastAsiaTheme="minorEastAsia" w:cstheme="minorBidi"/>
              <w:sz w:val="21"/>
              <w:szCs w:val="22"/>
            </w:rPr>
            <w:tab/>
          </w:r>
          <w:r>
            <w:rPr>
              <w:rStyle w:val="28"/>
              <w:rFonts w:hint="eastAsia"/>
            </w:rPr>
            <w:t>建立健全资源高效利用制度</w:t>
          </w:r>
          <w:r>
            <w:tab/>
          </w:r>
          <w:r>
            <w:fldChar w:fldCharType="begin"/>
          </w:r>
          <w:r>
            <w:instrText xml:space="preserve"> PAGEREF _Toc66031103 \h </w:instrText>
          </w:r>
          <w:r>
            <w:fldChar w:fldCharType="separate"/>
          </w:r>
          <w:r>
            <w:t>26</w:t>
          </w:r>
          <w:r>
            <w:fldChar w:fldCharType="end"/>
          </w:r>
          <w:r>
            <w:fldChar w:fldCharType="end"/>
          </w:r>
        </w:p>
        <w:p>
          <w:pPr>
            <w:pStyle w:val="20"/>
            <w:tabs>
              <w:tab w:val="left" w:pos="1680"/>
              <w:tab w:val="right" w:leader="dot" w:pos="8296"/>
            </w:tabs>
            <w:ind w:left="600"/>
            <w:rPr>
              <w:rFonts w:asciiTheme="minorHAnsi" w:hAnsiTheme="minorHAnsi" w:eastAsiaTheme="minorEastAsia" w:cstheme="minorBidi"/>
              <w:sz w:val="21"/>
              <w:szCs w:val="22"/>
            </w:rPr>
          </w:pPr>
          <w:r>
            <w:fldChar w:fldCharType="begin"/>
          </w:r>
          <w:r>
            <w:instrText xml:space="preserve"> HYPERLINK \l "_Toc66031104" </w:instrText>
          </w:r>
          <w:r>
            <w:fldChar w:fldCharType="separate"/>
          </w:r>
          <w:r>
            <w:rPr>
              <w:rStyle w:val="28"/>
              <w:rFonts w:hint="eastAsia"/>
            </w:rPr>
            <w:t>第三节</w:t>
          </w:r>
          <w:r>
            <w:rPr>
              <w:rFonts w:asciiTheme="minorHAnsi" w:hAnsiTheme="minorHAnsi" w:eastAsiaTheme="minorEastAsia" w:cstheme="minorBidi"/>
              <w:sz w:val="21"/>
              <w:szCs w:val="22"/>
            </w:rPr>
            <w:tab/>
          </w:r>
          <w:r>
            <w:rPr>
              <w:rStyle w:val="28"/>
              <w:rFonts w:hint="eastAsia"/>
            </w:rPr>
            <w:t>探索绿色发展激励机制</w:t>
          </w:r>
          <w:r>
            <w:tab/>
          </w:r>
          <w:r>
            <w:fldChar w:fldCharType="begin"/>
          </w:r>
          <w:r>
            <w:instrText xml:space="preserve"> PAGEREF _Toc66031104 \h </w:instrText>
          </w:r>
          <w:r>
            <w:fldChar w:fldCharType="separate"/>
          </w:r>
          <w:r>
            <w:t>27</w:t>
          </w:r>
          <w:r>
            <w:fldChar w:fldCharType="end"/>
          </w:r>
          <w:r>
            <w:fldChar w:fldCharType="end"/>
          </w:r>
        </w:p>
        <w:p>
          <w:pPr>
            <w:pStyle w:val="20"/>
            <w:tabs>
              <w:tab w:val="left" w:pos="1680"/>
              <w:tab w:val="right" w:leader="dot" w:pos="8296"/>
            </w:tabs>
            <w:ind w:left="600"/>
            <w:rPr>
              <w:rFonts w:asciiTheme="minorHAnsi" w:hAnsiTheme="minorHAnsi" w:eastAsiaTheme="minorEastAsia" w:cstheme="minorBidi"/>
              <w:sz w:val="21"/>
              <w:szCs w:val="22"/>
            </w:rPr>
          </w:pPr>
          <w:r>
            <w:fldChar w:fldCharType="begin"/>
          </w:r>
          <w:r>
            <w:instrText xml:space="preserve"> HYPERLINK \l "_Toc66031105" </w:instrText>
          </w:r>
          <w:r>
            <w:fldChar w:fldCharType="separate"/>
          </w:r>
          <w:r>
            <w:rPr>
              <w:rStyle w:val="28"/>
              <w:rFonts w:hint="eastAsia"/>
            </w:rPr>
            <w:t>第四节</w:t>
          </w:r>
          <w:r>
            <w:rPr>
              <w:rFonts w:asciiTheme="minorHAnsi" w:hAnsiTheme="minorHAnsi" w:eastAsiaTheme="minorEastAsia" w:cstheme="minorBidi"/>
              <w:sz w:val="21"/>
              <w:szCs w:val="22"/>
            </w:rPr>
            <w:tab/>
          </w:r>
          <w:r>
            <w:rPr>
              <w:rStyle w:val="28"/>
              <w:rFonts w:hint="eastAsia"/>
            </w:rPr>
            <w:t>推动生态环境治理能力现代化</w:t>
          </w:r>
          <w:r>
            <w:tab/>
          </w:r>
          <w:r>
            <w:fldChar w:fldCharType="begin"/>
          </w:r>
          <w:r>
            <w:instrText xml:space="preserve"> PAGEREF _Toc66031105 \h </w:instrText>
          </w:r>
          <w:r>
            <w:fldChar w:fldCharType="separate"/>
          </w:r>
          <w:r>
            <w:t>28</w:t>
          </w:r>
          <w:r>
            <w:fldChar w:fldCharType="end"/>
          </w:r>
          <w:r>
            <w:fldChar w:fldCharType="end"/>
          </w:r>
        </w:p>
        <w:p>
          <w:pPr>
            <w:pStyle w:val="18"/>
            <w:tabs>
              <w:tab w:val="right" w:leader="dot" w:pos="8296"/>
            </w:tabs>
            <w:rPr>
              <w:rFonts w:asciiTheme="minorHAnsi" w:hAnsiTheme="minorHAnsi" w:eastAsiaTheme="minorEastAsia" w:cstheme="minorBidi"/>
              <w:sz w:val="21"/>
              <w:szCs w:val="22"/>
            </w:rPr>
          </w:pPr>
          <w:r>
            <w:fldChar w:fldCharType="begin"/>
          </w:r>
          <w:r>
            <w:instrText xml:space="preserve"> HYPERLINK \l "_Toc66031106" </w:instrText>
          </w:r>
          <w:r>
            <w:fldChar w:fldCharType="separate"/>
          </w:r>
          <w:r>
            <w:rPr>
              <w:rStyle w:val="28"/>
              <w:rFonts w:hint="eastAsia"/>
            </w:rPr>
            <w:t>第五章 构筑绿色牢固的生态安全</w:t>
          </w:r>
          <w:r>
            <w:tab/>
          </w:r>
          <w:r>
            <w:fldChar w:fldCharType="begin"/>
          </w:r>
          <w:r>
            <w:instrText xml:space="preserve"> PAGEREF _Toc66031106 \h </w:instrText>
          </w:r>
          <w:r>
            <w:fldChar w:fldCharType="separate"/>
          </w:r>
          <w:r>
            <w:t>31</w:t>
          </w:r>
          <w:r>
            <w:fldChar w:fldCharType="end"/>
          </w:r>
          <w:r>
            <w:fldChar w:fldCharType="end"/>
          </w:r>
        </w:p>
        <w:p>
          <w:pPr>
            <w:pStyle w:val="20"/>
            <w:tabs>
              <w:tab w:val="left" w:pos="1680"/>
              <w:tab w:val="right" w:leader="dot" w:pos="8296"/>
            </w:tabs>
            <w:ind w:left="600"/>
            <w:rPr>
              <w:rFonts w:asciiTheme="minorHAnsi" w:hAnsiTheme="minorHAnsi" w:eastAsiaTheme="minorEastAsia" w:cstheme="minorBidi"/>
              <w:sz w:val="21"/>
              <w:szCs w:val="22"/>
            </w:rPr>
          </w:pPr>
          <w:r>
            <w:fldChar w:fldCharType="begin"/>
          </w:r>
          <w:r>
            <w:instrText xml:space="preserve"> HYPERLINK \l "_Toc66031107" </w:instrText>
          </w:r>
          <w:r>
            <w:fldChar w:fldCharType="separate"/>
          </w:r>
          <w:r>
            <w:rPr>
              <w:rStyle w:val="28"/>
              <w:rFonts w:hint="eastAsia"/>
            </w:rPr>
            <w:t>第一节</w:t>
          </w:r>
          <w:r>
            <w:rPr>
              <w:rFonts w:asciiTheme="minorHAnsi" w:hAnsiTheme="minorHAnsi" w:eastAsiaTheme="minorEastAsia" w:cstheme="minorBidi"/>
              <w:sz w:val="21"/>
              <w:szCs w:val="22"/>
            </w:rPr>
            <w:tab/>
          </w:r>
          <w:r>
            <w:rPr>
              <w:rStyle w:val="28"/>
              <w:rFonts w:hint="eastAsia"/>
            </w:rPr>
            <w:t>深化水生态环境保护</w:t>
          </w:r>
          <w:r>
            <w:tab/>
          </w:r>
          <w:r>
            <w:fldChar w:fldCharType="begin"/>
          </w:r>
          <w:r>
            <w:instrText xml:space="preserve"> PAGEREF _Toc66031107 \h </w:instrText>
          </w:r>
          <w:r>
            <w:fldChar w:fldCharType="separate"/>
          </w:r>
          <w:r>
            <w:t>31</w:t>
          </w:r>
          <w:r>
            <w:fldChar w:fldCharType="end"/>
          </w:r>
          <w:r>
            <w:fldChar w:fldCharType="end"/>
          </w:r>
        </w:p>
        <w:p>
          <w:pPr>
            <w:pStyle w:val="20"/>
            <w:tabs>
              <w:tab w:val="left" w:pos="1680"/>
              <w:tab w:val="right" w:leader="dot" w:pos="8296"/>
            </w:tabs>
            <w:ind w:left="600"/>
            <w:rPr>
              <w:rFonts w:asciiTheme="minorHAnsi" w:hAnsiTheme="minorHAnsi" w:eastAsiaTheme="minorEastAsia" w:cstheme="minorBidi"/>
              <w:sz w:val="21"/>
              <w:szCs w:val="22"/>
            </w:rPr>
          </w:pPr>
          <w:r>
            <w:fldChar w:fldCharType="begin"/>
          </w:r>
          <w:r>
            <w:instrText xml:space="preserve"> HYPERLINK \l "_Toc66031108" </w:instrText>
          </w:r>
          <w:r>
            <w:fldChar w:fldCharType="separate"/>
          </w:r>
          <w:r>
            <w:rPr>
              <w:rStyle w:val="28"/>
              <w:rFonts w:hint="eastAsia"/>
            </w:rPr>
            <w:t>第二节</w:t>
          </w:r>
          <w:r>
            <w:rPr>
              <w:rFonts w:asciiTheme="minorHAnsi" w:hAnsiTheme="minorHAnsi" w:eastAsiaTheme="minorEastAsia" w:cstheme="minorBidi"/>
              <w:sz w:val="21"/>
              <w:szCs w:val="22"/>
            </w:rPr>
            <w:tab/>
          </w:r>
          <w:r>
            <w:rPr>
              <w:rStyle w:val="28"/>
              <w:rFonts w:hint="eastAsia"/>
            </w:rPr>
            <w:t>推进清新空气行动</w:t>
          </w:r>
          <w:r>
            <w:tab/>
          </w:r>
          <w:r>
            <w:fldChar w:fldCharType="begin"/>
          </w:r>
          <w:r>
            <w:instrText xml:space="preserve"> PAGEREF _Toc66031108 \h </w:instrText>
          </w:r>
          <w:r>
            <w:fldChar w:fldCharType="separate"/>
          </w:r>
          <w:r>
            <w:t>32</w:t>
          </w:r>
          <w:r>
            <w:fldChar w:fldCharType="end"/>
          </w:r>
          <w:r>
            <w:fldChar w:fldCharType="end"/>
          </w:r>
        </w:p>
        <w:p>
          <w:pPr>
            <w:pStyle w:val="20"/>
            <w:tabs>
              <w:tab w:val="left" w:pos="1680"/>
              <w:tab w:val="right" w:leader="dot" w:pos="8296"/>
            </w:tabs>
            <w:ind w:left="600"/>
            <w:rPr>
              <w:rFonts w:asciiTheme="minorHAnsi" w:hAnsiTheme="minorHAnsi" w:eastAsiaTheme="minorEastAsia" w:cstheme="minorBidi"/>
              <w:sz w:val="21"/>
              <w:szCs w:val="22"/>
            </w:rPr>
          </w:pPr>
          <w:r>
            <w:fldChar w:fldCharType="begin"/>
          </w:r>
          <w:r>
            <w:instrText xml:space="preserve"> HYPERLINK \l "_Toc66031109" </w:instrText>
          </w:r>
          <w:r>
            <w:fldChar w:fldCharType="separate"/>
          </w:r>
          <w:r>
            <w:rPr>
              <w:rStyle w:val="28"/>
              <w:rFonts w:hint="eastAsia"/>
            </w:rPr>
            <w:t>第三节</w:t>
          </w:r>
          <w:r>
            <w:rPr>
              <w:rFonts w:asciiTheme="minorHAnsi" w:hAnsiTheme="minorHAnsi" w:eastAsiaTheme="minorEastAsia" w:cstheme="minorBidi"/>
              <w:sz w:val="21"/>
              <w:szCs w:val="22"/>
            </w:rPr>
            <w:tab/>
          </w:r>
          <w:r>
            <w:rPr>
              <w:rStyle w:val="28"/>
              <w:rFonts w:hint="eastAsia"/>
            </w:rPr>
            <w:t>强化土壤污染防治</w:t>
          </w:r>
          <w:r>
            <w:tab/>
          </w:r>
          <w:r>
            <w:fldChar w:fldCharType="begin"/>
          </w:r>
          <w:r>
            <w:instrText xml:space="preserve"> PAGEREF _Toc66031109 \h </w:instrText>
          </w:r>
          <w:r>
            <w:fldChar w:fldCharType="separate"/>
          </w:r>
          <w:r>
            <w:t>34</w:t>
          </w:r>
          <w:r>
            <w:fldChar w:fldCharType="end"/>
          </w:r>
          <w:r>
            <w:fldChar w:fldCharType="end"/>
          </w:r>
        </w:p>
        <w:p>
          <w:pPr>
            <w:pStyle w:val="20"/>
            <w:tabs>
              <w:tab w:val="left" w:pos="1680"/>
              <w:tab w:val="right" w:leader="dot" w:pos="8296"/>
            </w:tabs>
            <w:ind w:left="600"/>
            <w:rPr>
              <w:rFonts w:asciiTheme="minorHAnsi" w:hAnsiTheme="minorHAnsi" w:eastAsiaTheme="minorEastAsia" w:cstheme="minorBidi"/>
              <w:sz w:val="21"/>
              <w:szCs w:val="22"/>
            </w:rPr>
          </w:pPr>
          <w:r>
            <w:fldChar w:fldCharType="begin"/>
          </w:r>
          <w:r>
            <w:instrText xml:space="preserve"> HYPERLINK \l "_Toc66031110" </w:instrText>
          </w:r>
          <w:r>
            <w:fldChar w:fldCharType="separate"/>
          </w:r>
          <w:r>
            <w:rPr>
              <w:rStyle w:val="28"/>
              <w:rFonts w:hint="eastAsia"/>
            </w:rPr>
            <w:t>第四节</w:t>
          </w:r>
          <w:r>
            <w:rPr>
              <w:rFonts w:asciiTheme="minorHAnsi" w:hAnsiTheme="minorHAnsi" w:eastAsiaTheme="minorEastAsia" w:cstheme="minorBidi"/>
              <w:sz w:val="21"/>
              <w:szCs w:val="22"/>
            </w:rPr>
            <w:tab/>
          </w:r>
          <w:r>
            <w:rPr>
              <w:rStyle w:val="28"/>
              <w:rFonts w:hint="eastAsia"/>
            </w:rPr>
            <w:t>开展“无废城市”创建</w:t>
          </w:r>
          <w:r>
            <w:tab/>
          </w:r>
          <w:r>
            <w:fldChar w:fldCharType="begin"/>
          </w:r>
          <w:r>
            <w:instrText xml:space="preserve"> PAGEREF _Toc66031110 \h </w:instrText>
          </w:r>
          <w:r>
            <w:fldChar w:fldCharType="separate"/>
          </w:r>
          <w:r>
            <w:t>35</w:t>
          </w:r>
          <w:r>
            <w:fldChar w:fldCharType="end"/>
          </w:r>
          <w:r>
            <w:fldChar w:fldCharType="end"/>
          </w:r>
        </w:p>
        <w:p>
          <w:pPr>
            <w:pStyle w:val="20"/>
            <w:tabs>
              <w:tab w:val="left" w:pos="1680"/>
              <w:tab w:val="right" w:leader="dot" w:pos="8296"/>
            </w:tabs>
            <w:ind w:left="600"/>
            <w:rPr>
              <w:rFonts w:asciiTheme="minorHAnsi" w:hAnsiTheme="minorHAnsi" w:eastAsiaTheme="minorEastAsia" w:cstheme="minorBidi"/>
              <w:sz w:val="21"/>
              <w:szCs w:val="22"/>
            </w:rPr>
          </w:pPr>
          <w:r>
            <w:fldChar w:fldCharType="begin"/>
          </w:r>
          <w:r>
            <w:instrText xml:space="preserve"> HYPERLINK \l "_Toc66031111" </w:instrText>
          </w:r>
          <w:r>
            <w:fldChar w:fldCharType="separate"/>
          </w:r>
          <w:r>
            <w:rPr>
              <w:rStyle w:val="28"/>
              <w:rFonts w:hint="eastAsia"/>
            </w:rPr>
            <w:t>第五节</w:t>
          </w:r>
          <w:r>
            <w:rPr>
              <w:rFonts w:asciiTheme="minorHAnsi" w:hAnsiTheme="minorHAnsi" w:eastAsiaTheme="minorEastAsia" w:cstheme="minorBidi"/>
              <w:sz w:val="21"/>
              <w:szCs w:val="22"/>
            </w:rPr>
            <w:tab/>
          </w:r>
          <w:r>
            <w:rPr>
              <w:rStyle w:val="28"/>
              <w:rFonts w:hint="eastAsia"/>
            </w:rPr>
            <w:t>加大生态系统保护</w:t>
          </w:r>
          <w:r>
            <w:tab/>
          </w:r>
          <w:r>
            <w:fldChar w:fldCharType="begin"/>
          </w:r>
          <w:r>
            <w:instrText xml:space="preserve"> PAGEREF _Toc66031111 \h </w:instrText>
          </w:r>
          <w:r>
            <w:fldChar w:fldCharType="separate"/>
          </w:r>
          <w:r>
            <w:t>37</w:t>
          </w:r>
          <w:r>
            <w:fldChar w:fldCharType="end"/>
          </w:r>
          <w:r>
            <w:fldChar w:fldCharType="end"/>
          </w:r>
        </w:p>
        <w:p>
          <w:pPr>
            <w:pStyle w:val="18"/>
            <w:tabs>
              <w:tab w:val="right" w:leader="dot" w:pos="8296"/>
            </w:tabs>
            <w:rPr>
              <w:rFonts w:asciiTheme="minorHAnsi" w:hAnsiTheme="minorHAnsi" w:eastAsiaTheme="minorEastAsia" w:cstheme="minorBidi"/>
              <w:sz w:val="21"/>
              <w:szCs w:val="22"/>
            </w:rPr>
          </w:pPr>
          <w:r>
            <w:fldChar w:fldCharType="begin"/>
          </w:r>
          <w:r>
            <w:instrText xml:space="preserve"> HYPERLINK \l "_Toc66031112" </w:instrText>
          </w:r>
          <w:r>
            <w:fldChar w:fldCharType="separate"/>
          </w:r>
          <w:r>
            <w:rPr>
              <w:rStyle w:val="28"/>
              <w:rFonts w:hint="eastAsia"/>
            </w:rPr>
            <w:t>第六章 布局集约高效的生态空间</w:t>
          </w:r>
          <w:r>
            <w:tab/>
          </w:r>
          <w:r>
            <w:fldChar w:fldCharType="begin"/>
          </w:r>
          <w:r>
            <w:instrText xml:space="preserve"> PAGEREF _Toc66031112 \h </w:instrText>
          </w:r>
          <w:r>
            <w:fldChar w:fldCharType="separate"/>
          </w:r>
          <w:r>
            <w:t>39</w:t>
          </w:r>
          <w:r>
            <w:fldChar w:fldCharType="end"/>
          </w:r>
          <w:r>
            <w:fldChar w:fldCharType="end"/>
          </w:r>
        </w:p>
        <w:p>
          <w:pPr>
            <w:pStyle w:val="20"/>
            <w:tabs>
              <w:tab w:val="left" w:pos="1680"/>
              <w:tab w:val="right" w:leader="dot" w:pos="8296"/>
            </w:tabs>
            <w:ind w:left="600"/>
            <w:rPr>
              <w:rFonts w:asciiTheme="minorHAnsi" w:hAnsiTheme="minorHAnsi" w:eastAsiaTheme="minorEastAsia" w:cstheme="minorBidi"/>
              <w:sz w:val="21"/>
              <w:szCs w:val="22"/>
            </w:rPr>
          </w:pPr>
          <w:r>
            <w:fldChar w:fldCharType="begin"/>
          </w:r>
          <w:r>
            <w:instrText xml:space="preserve"> HYPERLINK \l "_Toc66031113" </w:instrText>
          </w:r>
          <w:r>
            <w:fldChar w:fldCharType="separate"/>
          </w:r>
          <w:r>
            <w:rPr>
              <w:rStyle w:val="28"/>
              <w:rFonts w:hint="eastAsia"/>
            </w:rPr>
            <w:t>第一节</w:t>
          </w:r>
          <w:r>
            <w:rPr>
              <w:rFonts w:asciiTheme="minorHAnsi" w:hAnsiTheme="minorHAnsi" w:eastAsiaTheme="minorEastAsia" w:cstheme="minorBidi"/>
              <w:sz w:val="21"/>
              <w:szCs w:val="22"/>
            </w:rPr>
            <w:tab/>
          </w:r>
          <w:r>
            <w:rPr>
              <w:rStyle w:val="28"/>
              <w:rFonts w:hint="eastAsia"/>
            </w:rPr>
            <w:t>优化绿色空间格局</w:t>
          </w:r>
          <w:r>
            <w:tab/>
          </w:r>
          <w:r>
            <w:fldChar w:fldCharType="begin"/>
          </w:r>
          <w:r>
            <w:instrText xml:space="preserve"> PAGEREF _Toc66031113 \h </w:instrText>
          </w:r>
          <w:r>
            <w:fldChar w:fldCharType="separate"/>
          </w:r>
          <w:r>
            <w:t>39</w:t>
          </w:r>
          <w:r>
            <w:fldChar w:fldCharType="end"/>
          </w:r>
          <w:r>
            <w:fldChar w:fldCharType="end"/>
          </w:r>
        </w:p>
        <w:p>
          <w:pPr>
            <w:pStyle w:val="20"/>
            <w:tabs>
              <w:tab w:val="left" w:pos="1680"/>
              <w:tab w:val="right" w:leader="dot" w:pos="8296"/>
            </w:tabs>
            <w:ind w:left="600"/>
            <w:rPr>
              <w:rFonts w:asciiTheme="minorHAnsi" w:hAnsiTheme="minorHAnsi" w:eastAsiaTheme="minorEastAsia" w:cstheme="minorBidi"/>
              <w:sz w:val="21"/>
              <w:szCs w:val="22"/>
            </w:rPr>
          </w:pPr>
          <w:r>
            <w:fldChar w:fldCharType="begin"/>
          </w:r>
          <w:r>
            <w:instrText xml:space="preserve"> HYPERLINK \l "_Toc66031114" </w:instrText>
          </w:r>
          <w:r>
            <w:fldChar w:fldCharType="separate"/>
          </w:r>
          <w:r>
            <w:rPr>
              <w:rStyle w:val="28"/>
              <w:rFonts w:hint="eastAsia"/>
            </w:rPr>
            <w:t>第二节</w:t>
          </w:r>
          <w:r>
            <w:rPr>
              <w:rFonts w:asciiTheme="minorHAnsi" w:hAnsiTheme="minorHAnsi" w:eastAsiaTheme="minorEastAsia" w:cstheme="minorBidi"/>
              <w:sz w:val="21"/>
              <w:szCs w:val="22"/>
            </w:rPr>
            <w:tab/>
          </w:r>
          <w:r>
            <w:rPr>
              <w:rStyle w:val="28"/>
              <w:rFonts w:hint="eastAsia"/>
            </w:rPr>
            <w:t>统筹空间开发利用</w:t>
          </w:r>
          <w:r>
            <w:tab/>
          </w:r>
          <w:r>
            <w:fldChar w:fldCharType="begin"/>
          </w:r>
          <w:r>
            <w:instrText xml:space="preserve"> PAGEREF _Toc66031114 \h </w:instrText>
          </w:r>
          <w:r>
            <w:fldChar w:fldCharType="separate"/>
          </w:r>
          <w:r>
            <w:t>40</w:t>
          </w:r>
          <w:r>
            <w:fldChar w:fldCharType="end"/>
          </w:r>
          <w:r>
            <w:fldChar w:fldCharType="end"/>
          </w:r>
        </w:p>
        <w:p>
          <w:pPr>
            <w:pStyle w:val="20"/>
            <w:tabs>
              <w:tab w:val="left" w:pos="1680"/>
              <w:tab w:val="right" w:leader="dot" w:pos="8296"/>
            </w:tabs>
            <w:ind w:left="600"/>
            <w:rPr>
              <w:rFonts w:asciiTheme="minorHAnsi" w:hAnsiTheme="minorHAnsi" w:eastAsiaTheme="minorEastAsia" w:cstheme="minorBidi"/>
              <w:sz w:val="21"/>
              <w:szCs w:val="22"/>
            </w:rPr>
          </w:pPr>
          <w:r>
            <w:fldChar w:fldCharType="begin"/>
          </w:r>
          <w:r>
            <w:instrText xml:space="preserve"> HYPERLINK \l "_Toc66031115" </w:instrText>
          </w:r>
          <w:r>
            <w:fldChar w:fldCharType="separate"/>
          </w:r>
          <w:r>
            <w:rPr>
              <w:rStyle w:val="28"/>
              <w:rFonts w:hint="eastAsia"/>
            </w:rPr>
            <w:t>第三节</w:t>
          </w:r>
          <w:r>
            <w:rPr>
              <w:rFonts w:asciiTheme="minorHAnsi" w:hAnsiTheme="minorHAnsi" w:eastAsiaTheme="minorEastAsia" w:cstheme="minorBidi"/>
              <w:sz w:val="21"/>
              <w:szCs w:val="22"/>
            </w:rPr>
            <w:tab/>
          </w:r>
          <w:r>
            <w:rPr>
              <w:rStyle w:val="28"/>
              <w:rFonts w:hint="eastAsia"/>
            </w:rPr>
            <w:t>推进河湖岸线保护</w:t>
          </w:r>
          <w:r>
            <w:tab/>
          </w:r>
          <w:r>
            <w:fldChar w:fldCharType="begin"/>
          </w:r>
          <w:r>
            <w:instrText xml:space="preserve"> PAGEREF _Toc66031115 \h </w:instrText>
          </w:r>
          <w:r>
            <w:fldChar w:fldCharType="separate"/>
          </w:r>
          <w:r>
            <w:t>42</w:t>
          </w:r>
          <w:r>
            <w:fldChar w:fldCharType="end"/>
          </w:r>
          <w:r>
            <w:fldChar w:fldCharType="end"/>
          </w:r>
        </w:p>
        <w:p>
          <w:pPr>
            <w:pStyle w:val="18"/>
            <w:tabs>
              <w:tab w:val="right" w:leader="dot" w:pos="8296"/>
            </w:tabs>
            <w:rPr>
              <w:rFonts w:asciiTheme="minorHAnsi" w:hAnsiTheme="minorHAnsi" w:eastAsiaTheme="minorEastAsia" w:cstheme="minorBidi"/>
              <w:sz w:val="21"/>
              <w:szCs w:val="22"/>
            </w:rPr>
          </w:pPr>
          <w:r>
            <w:fldChar w:fldCharType="begin"/>
          </w:r>
          <w:r>
            <w:instrText xml:space="preserve"> HYPERLINK \l "_Toc66031116" </w:instrText>
          </w:r>
          <w:r>
            <w:fldChar w:fldCharType="separate"/>
          </w:r>
          <w:r>
            <w:rPr>
              <w:rStyle w:val="28"/>
              <w:rFonts w:hint="eastAsia" w:eastAsia="仿宋_GB2312"/>
            </w:rPr>
            <w:t>第七章 发展低碳循环的生态经济</w:t>
          </w:r>
          <w:r>
            <w:tab/>
          </w:r>
          <w:r>
            <w:fldChar w:fldCharType="begin"/>
          </w:r>
          <w:r>
            <w:instrText xml:space="preserve"> PAGEREF _Toc66031116 \h </w:instrText>
          </w:r>
          <w:r>
            <w:fldChar w:fldCharType="separate"/>
          </w:r>
          <w:r>
            <w:t>44</w:t>
          </w:r>
          <w:r>
            <w:fldChar w:fldCharType="end"/>
          </w:r>
          <w:r>
            <w:fldChar w:fldCharType="end"/>
          </w:r>
        </w:p>
        <w:p>
          <w:pPr>
            <w:pStyle w:val="20"/>
            <w:tabs>
              <w:tab w:val="left" w:pos="1680"/>
              <w:tab w:val="right" w:leader="dot" w:pos="8296"/>
            </w:tabs>
            <w:ind w:left="600"/>
            <w:rPr>
              <w:rFonts w:asciiTheme="minorHAnsi" w:hAnsiTheme="minorHAnsi" w:eastAsiaTheme="minorEastAsia" w:cstheme="minorBidi"/>
              <w:sz w:val="21"/>
              <w:szCs w:val="22"/>
            </w:rPr>
          </w:pPr>
          <w:r>
            <w:fldChar w:fldCharType="begin"/>
          </w:r>
          <w:r>
            <w:instrText xml:space="preserve"> HYPERLINK \l "_Toc66031117" </w:instrText>
          </w:r>
          <w:r>
            <w:fldChar w:fldCharType="separate"/>
          </w:r>
          <w:r>
            <w:rPr>
              <w:rStyle w:val="28"/>
              <w:rFonts w:hint="eastAsia"/>
            </w:rPr>
            <w:t>第一节</w:t>
          </w:r>
          <w:r>
            <w:rPr>
              <w:rFonts w:asciiTheme="minorHAnsi" w:hAnsiTheme="minorHAnsi" w:eastAsiaTheme="minorEastAsia" w:cstheme="minorBidi"/>
              <w:sz w:val="21"/>
              <w:szCs w:val="22"/>
            </w:rPr>
            <w:tab/>
          </w:r>
          <w:r>
            <w:rPr>
              <w:rStyle w:val="28"/>
              <w:rFonts w:hint="eastAsia"/>
            </w:rPr>
            <w:t>推进先进制造业高质量发展</w:t>
          </w:r>
          <w:r>
            <w:tab/>
          </w:r>
          <w:r>
            <w:fldChar w:fldCharType="begin"/>
          </w:r>
          <w:r>
            <w:instrText xml:space="preserve"> PAGEREF _Toc66031117 \h </w:instrText>
          </w:r>
          <w:r>
            <w:fldChar w:fldCharType="separate"/>
          </w:r>
          <w:r>
            <w:t>44</w:t>
          </w:r>
          <w:r>
            <w:fldChar w:fldCharType="end"/>
          </w:r>
          <w:r>
            <w:fldChar w:fldCharType="end"/>
          </w:r>
        </w:p>
        <w:p>
          <w:pPr>
            <w:pStyle w:val="20"/>
            <w:tabs>
              <w:tab w:val="left" w:pos="1680"/>
              <w:tab w:val="right" w:leader="dot" w:pos="8296"/>
            </w:tabs>
            <w:ind w:left="600"/>
            <w:rPr>
              <w:rFonts w:asciiTheme="minorHAnsi" w:hAnsiTheme="minorHAnsi" w:eastAsiaTheme="minorEastAsia" w:cstheme="minorBidi"/>
              <w:sz w:val="21"/>
              <w:szCs w:val="22"/>
            </w:rPr>
          </w:pPr>
          <w:r>
            <w:fldChar w:fldCharType="begin"/>
          </w:r>
          <w:r>
            <w:instrText xml:space="preserve"> HYPERLINK \l "_Toc66031118" </w:instrText>
          </w:r>
          <w:r>
            <w:fldChar w:fldCharType="separate"/>
          </w:r>
          <w:r>
            <w:rPr>
              <w:rStyle w:val="28"/>
              <w:rFonts w:hint="eastAsia"/>
            </w:rPr>
            <w:t>第二节</w:t>
          </w:r>
          <w:r>
            <w:rPr>
              <w:rFonts w:asciiTheme="minorHAnsi" w:hAnsiTheme="minorHAnsi" w:eastAsiaTheme="minorEastAsia" w:cstheme="minorBidi"/>
              <w:sz w:val="21"/>
              <w:szCs w:val="22"/>
            </w:rPr>
            <w:tab/>
          </w:r>
          <w:r>
            <w:rPr>
              <w:rStyle w:val="28"/>
              <w:rFonts w:hint="eastAsia"/>
            </w:rPr>
            <w:t>推进生态农业高质量发展</w:t>
          </w:r>
          <w:r>
            <w:tab/>
          </w:r>
          <w:r>
            <w:fldChar w:fldCharType="begin"/>
          </w:r>
          <w:r>
            <w:instrText xml:space="preserve"> PAGEREF _Toc66031118 \h </w:instrText>
          </w:r>
          <w:r>
            <w:fldChar w:fldCharType="separate"/>
          </w:r>
          <w:r>
            <w:t>46</w:t>
          </w:r>
          <w:r>
            <w:fldChar w:fldCharType="end"/>
          </w:r>
          <w:r>
            <w:fldChar w:fldCharType="end"/>
          </w:r>
        </w:p>
        <w:p>
          <w:pPr>
            <w:pStyle w:val="20"/>
            <w:tabs>
              <w:tab w:val="left" w:pos="1680"/>
              <w:tab w:val="right" w:leader="dot" w:pos="8296"/>
            </w:tabs>
            <w:ind w:left="600"/>
            <w:rPr>
              <w:rFonts w:asciiTheme="minorHAnsi" w:hAnsiTheme="minorHAnsi" w:eastAsiaTheme="minorEastAsia" w:cstheme="minorBidi"/>
              <w:sz w:val="21"/>
              <w:szCs w:val="22"/>
            </w:rPr>
          </w:pPr>
          <w:r>
            <w:fldChar w:fldCharType="begin"/>
          </w:r>
          <w:r>
            <w:instrText xml:space="preserve"> HYPERLINK \l "_Toc66031119" </w:instrText>
          </w:r>
          <w:r>
            <w:fldChar w:fldCharType="separate"/>
          </w:r>
          <w:r>
            <w:rPr>
              <w:rStyle w:val="28"/>
              <w:rFonts w:hint="eastAsia"/>
            </w:rPr>
            <w:t>第三节</w:t>
          </w:r>
          <w:r>
            <w:rPr>
              <w:rFonts w:asciiTheme="minorHAnsi" w:hAnsiTheme="minorHAnsi" w:eastAsiaTheme="minorEastAsia" w:cstheme="minorBidi"/>
              <w:sz w:val="21"/>
              <w:szCs w:val="22"/>
            </w:rPr>
            <w:tab/>
          </w:r>
          <w:r>
            <w:rPr>
              <w:rStyle w:val="28"/>
              <w:rFonts w:hint="eastAsia"/>
            </w:rPr>
            <w:t>推进现代服务业高质量发展</w:t>
          </w:r>
          <w:r>
            <w:tab/>
          </w:r>
          <w:r>
            <w:fldChar w:fldCharType="begin"/>
          </w:r>
          <w:r>
            <w:instrText xml:space="preserve"> PAGEREF _Toc66031119 \h </w:instrText>
          </w:r>
          <w:r>
            <w:fldChar w:fldCharType="separate"/>
          </w:r>
          <w:r>
            <w:t>47</w:t>
          </w:r>
          <w:r>
            <w:fldChar w:fldCharType="end"/>
          </w:r>
          <w:r>
            <w:fldChar w:fldCharType="end"/>
          </w:r>
        </w:p>
        <w:p>
          <w:pPr>
            <w:pStyle w:val="20"/>
            <w:tabs>
              <w:tab w:val="left" w:pos="1680"/>
              <w:tab w:val="right" w:leader="dot" w:pos="8296"/>
            </w:tabs>
            <w:ind w:left="600"/>
            <w:rPr>
              <w:rFonts w:asciiTheme="minorHAnsi" w:hAnsiTheme="minorHAnsi" w:eastAsiaTheme="minorEastAsia" w:cstheme="minorBidi"/>
              <w:sz w:val="21"/>
              <w:szCs w:val="22"/>
            </w:rPr>
          </w:pPr>
          <w:r>
            <w:fldChar w:fldCharType="begin"/>
          </w:r>
          <w:r>
            <w:instrText xml:space="preserve"> HYPERLINK \l "_Toc66031120" </w:instrText>
          </w:r>
          <w:r>
            <w:fldChar w:fldCharType="separate"/>
          </w:r>
          <w:r>
            <w:rPr>
              <w:rStyle w:val="28"/>
              <w:rFonts w:hint="eastAsia"/>
            </w:rPr>
            <w:t>第四节</w:t>
          </w:r>
          <w:r>
            <w:rPr>
              <w:rFonts w:asciiTheme="minorHAnsi" w:hAnsiTheme="minorHAnsi" w:eastAsiaTheme="minorEastAsia" w:cstheme="minorBidi"/>
              <w:sz w:val="21"/>
              <w:szCs w:val="22"/>
            </w:rPr>
            <w:tab/>
          </w:r>
          <w:r>
            <w:rPr>
              <w:rStyle w:val="28"/>
              <w:rFonts w:hint="eastAsia"/>
            </w:rPr>
            <w:t>推进循环经济和清洁生产</w:t>
          </w:r>
          <w:r>
            <w:tab/>
          </w:r>
          <w:r>
            <w:fldChar w:fldCharType="begin"/>
          </w:r>
          <w:r>
            <w:instrText xml:space="preserve"> PAGEREF _Toc66031120 \h </w:instrText>
          </w:r>
          <w:r>
            <w:fldChar w:fldCharType="separate"/>
          </w:r>
          <w:r>
            <w:t>49</w:t>
          </w:r>
          <w:r>
            <w:fldChar w:fldCharType="end"/>
          </w:r>
          <w:r>
            <w:fldChar w:fldCharType="end"/>
          </w:r>
        </w:p>
        <w:p>
          <w:pPr>
            <w:pStyle w:val="20"/>
            <w:tabs>
              <w:tab w:val="left" w:pos="1680"/>
              <w:tab w:val="right" w:leader="dot" w:pos="8296"/>
            </w:tabs>
            <w:ind w:left="600"/>
            <w:rPr>
              <w:rFonts w:asciiTheme="minorHAnsi" w:hAnsiTheme="minorHAnsi" w:eastAsiaTheme="minorEastAsia" w:cstheme="minorBidi"/>
              <w:sz w:val="21"/>
              <w:szCs w:val="22"/>
            </w:rPr>
          </w:pPr>
          <w:r>
            <w:fldChar w:fldCharType="begin"/>
          </w:r>
          <w:r>
            <w:instrText xml:space="preserve"> HYPERLINK \l "_Toc66031121" </w:instrText>
          </w:r>
          <w:r>
            <w:fldChar w:fldCharType="separate"/>
          </w:r>
          <w:r>
            <w:rPr>
              <w:rStyle w:val="28"/>
              <w:rFonts w:hint="eastAsia"/>
            </w:rPr>
            <w:t>第五节</w:t>
          </w:r>
          <w:r>
            <w:rPr>
              <w:rFonts w:asciiTheme="minorHAnsi" w:hAnsiTheme="minorHAnsi" w:eastAsiaTheme="minorEastAsia" w:cstheme="minorBidi"/>
              <w:sz w:val="21"/>
              <w:szCs w:val="22"/>
            </w:rPr>
            <w:tab/>
          </w:r>
          <w:r>
            <w:rPr>
              <w:rStyle w:val="28"/>
              <w:rFonts w:hint="eastAsia"/>
            </w:rPr>
            <w:t>推进应对气候变化和碳达峰</w:t>
          </w:r>
          <w:r>
            <w:tab/>
          </w:r>
          <w:r>
            <w:fldChar w:fldCharType="begin"/>
          </w:r>
          <w:r>
            <w:instrText xml:space="preserve"> PAGEREF _Toc66031121 \h </w:instrText>
          </w:r>
          <w:r>
            <w:fldChar w:fldCharType="separate"/>
          </w:r>
          <w:r>
            <w:t>50</w:t>
          </w:r>
          <w:r>
            <w:fldChar w:fldCharType="end"/>
          </w:r>
          <w:r>
            <w:fldChar w:fldCharType="end"/>
          </w:r>
        </w:p>
        <w:p>
          <w:pPr>
            <w:pStyle w:val="18"/>
            <w:tabs>
              <w:tab w:val="right" w:leader="dot" w:pos="8296"/>
            </w:tabs>
            <w:rPr>
              <w:rFonts w:asciiTheme="minorHAnsi" w:hAnsiTheme="minorHAnsi" w:eastAsiaTheme="minorEastAsia" w:cstheme="minorBidi"/>
              <w:sz w:val="21"/>
              <w:szCs w:val="22"/>
            </w:rPr>
          </w:pPr>
          <w:r>
            <w:fldChar w:fldCharType="begin"/>
          </w:r>
          <w:r>
            <w:instrText xml:space="preserve"> HYPERLINK \l "_Toc66031122" </w:instrText>
          </w:r>
          <w:r>
            <w:fldChar w:fldCharType="separate"/>
          </w:r>
          <w:r>
            <w:rPr>
              <w:rStyle w:val="28"/>
              <w:rFonts w:hint="eastAsia"/>
            </w:rPr>
            <w:t>第八章 打造宜居宜业的生态生活</w:t>
          </w:r>
          <w:r>
            <w:tab/>
          </w:r>
          <w:r>
            <w:fldChar w:fldCharType="begin"/>
          </w:r>
          <w:r>
            <w:instrText xml:space="preserve"> PAGEREF _Toc66031122 \h </w:instrText>
          </w:r>
          <w:r>
            <w:fldChar w:fldCharType="separate"/>
          </w:r>
          <w:r>
            <w:t>52</w:t>
          </w:r>
          <w:r>
            <w:fldChar w:fldCharType="end"/>
          </w:r>
          <w:r>
            <w:fldChar w:fldCharType="end"/>
          </w:r>
        </w:p>
        <w:p>
          <w:pPr>
            <w:pStyle w:val="20"/>
            <w:tabs>
              <w:tab w:val="left" w:pos="1680"/>
              <w:tab w:val="right" w:leader="dot" w:pos="8296"/>
            </w:tabs>
            <w:ind w:left="600"/>
            <w:rPr>
              <w:rFonts w:asciiTheme="minorHAnsi" w:hAnsiTheme="minorHAnsi" w:eastAsiaTheme="minorEastAsia" w:cstheme="minorBidi"/>
              <w:sz w:val="21"/>
              <w:szCs w:val="22"/>
            </w:rPr>
          </w:pPr>
          <w:r>
            <w:fldChar w:fldCharType="begin"/>
          </w:r>
          <w:r>
            <w:instrText xml:space="preserve"> HYPERLINK \l "_Toc66031123" </w:instrText>
          </w:r>
          <w:r>
            <w:fldChar w:fldCharType="separate"/>
          </w:r>
          <w:r>
            <w:rPr>
              <w:rStyle w:val="28"/>
              <w:rFonts w:hint="eastAsia"/>
            </w:rPr>
            <w:t>第一节</w:t>
          </w:r>
          <w:r>
            <w:rPr>
              <w:rFonts w:asciiTheme="minorHAnsi" w:hAnsiTheme="minorHAnsi" w:eastAsiaTheme="minorEastAsia" w:cstheme="minorBidi"/>
              <w:sz w:val="21"/>
              <w:szCs w:val="22"/>
            </w:rPr>
            <w:tab/>
          </w:r>
          <w:r>
            <w:rPr>
              <w:rStyle w:val="28"/>
              <w:rFonts w:hint="eastAsia"/>
            </w:rPr>
            <w:t>提高城市现代化建设水平</w:t>
          </w:r>
          <w:r>
            <w:tab/>
          </w:r>
          <w:r>
            <w:fldChar w:fldCharType="begin"/>
          </w:r>
          <w:r>
            <w:instrText xml:space="preserve"> PAGEREF _Toc66031123 \h </w:instrText>
          </w:r>
          <w:r>
            <w:fldChar w:fldCharType="separate"/>
          </w:r>
          <w:r>
            <w:t>52</w:t>
          </w:r>
          <w:r>
            <w:fldChar w:fldCharType="end"/>
          </w:r>
          <w:r>
            <w:fldChar w:fldCharType="end"/>
          </w:r>
        </w:p>
        <w:p>
          <w:pPr>
            <w:pStyle w:val="20"/>
            <w:tabs>
              <w:tab w:val="left" w:pos="1680"/>
              <w:tab w:val="right" w:leader="dot" w:pos="8296"/>
            </w:tabs>
            <w:ind w:left="600"/>
            <w:rPr>
              <w:rFonts w:asciiTheme="minorHAnsi" w:hAnsiTheme="minorHAnsi" w:eastAsiaTheme="minorEastAsia" w:cstheme="minorBidi"/>
              <w:sz w:val="21"/>
              <w:szCs w:val="22"/>
            </w:rPr>
          </w:pPr>
          <w:r>
            <w:fldChar w:fldCharType="begin"/>
          </w:r>
          <w:r>
            <w:instrText xml:space="preserve"> HYPERLINK \l "_Toc66031124" </w:instrText>
          </w:r>
          <w:r>
            <w:fldChar w:fldCharType="separate"/>
          </w:r>
          <w:r>
            <w:rPr>
              <w:rStyle w:val="28"/>
              <w:rFonts w:hint="eastAsia"/>
            </w:rPr>
            <w:t>第二节</w:t>
          </w:r>
          <w:r>
            <w:rPr>
              <w:rFonts w:asciiTheme="minorHAnsi" w:hAnsiTheme="minorHAnsi" w:eastAsiaTheme="minorEastAsia" w:cstheme="minorBidi"/>
              <w:sz w:val="21"/>
              <w:szCs w:val="22"/>
            </w:rPr>
            <w:tab/>
          </w:r>
          <w:r>
            <w:rPr>
              <w:rStyle w:val="28"/>
              <w:rFonts w:hint="eastAsia"/>
            </w:rPr>
            <w:t>打造休闲宜居美丽城镇</w:t>
          </w:r>
          <w:r>
            <w:tab/>
          </w:r>
          <w:r>
            <w:fldChar w:fldCharType="begin"/>
          </w:r>
          <w:r>
            <w:instrText xml:space="preserve"> PAGEREF _Toc66031124 \h </w:instrText>
          </w:r>
          <w:r>
            <w:fldChar w:fldCharType="separate"/>
          </w:r>
          <w:r>
            <w:t>54</w:t>
          </w:r>
          <w:r>
            <w:fldChar w:fldCharType="end"/>
          </w:r>
          <w:r>
            <w:fldChar w:fldCharType="end"/>
          </w:r>
        </w:p>
        <w:p>
          <w:pPr>
            <w:pStyle w:val="20"/>
            <w:tabs>
              <w:tab w:val="left" w:pos="1680"/>
              <w:tab w:val="right" w:leader="dot" w:pos="8296"/>
            </w:tabs>
            <w:ind w:left="600"/>
            <w:rPr>
              <w:rFonts w:asciiTheme="minorHAnsi" w:hAnsiTheme="minorHAnsi" w:eastAsiaTheme="minorEastAsia" w:cstheme="minorBidi"/>
              <w:sz w:val="21"/>
              <w:szCs w:val="22"/>
            </w:rPr>
          </w:pPr>
          <w:r>
            <w:fldChar w:fldCharType="begin"/>
          </w:r>
          <w:r>
            <w:instrText xml:space="preserve"> HYPERLINK \l "_Toc66031125" </w:instrText>
          </w:r>
          <w:r>
            <w:fldChar w:fldCharType="separate"/>
          </w:r>
          <w:r>
            <w:rPr>
              <w:rStyle w:val="28"/>
              <w:rFonts w:hint="eastAsia"/>
            </w:rPr>
            <w:t>第三节</w:t>
          </w:r>
          <w:r>
            <w:rPr>
              <w:rFonts w:asciiTheme="minorHAnsi" w:hAnsiTheme="minorHAnsi" w:eastAsiaTheme="minorEastAsia" w:cstheme="minorBidi"/>
              <w:sz w:val="21"/>
              <w:szCs w:val="22"/>
            </w:rPr>
            <w:tab/>
          </w:r>
          <w:r>
            <w:rPr>
              <w:rStyle w:val="28"/>
              <w:rFonts w:hint="eastAsia"/>
            </w:rPr>
            <w:t>建设生态诗意美丽乡村</w:t>
          </w:r>
          <w:r>
            <w:tab/>
          </w:r>
          <w:r>
            <w:fldChar w:fldCharType="begin"/>
          </w:r>
          <w:r>
            <w:instrText xml:space="preserve"> PAGEREF _Toc66031125 \h </w:instrText>
          </w:r>
          <w:r>
            <w:fldChar w:fldCharType="separate"/>
          </w:r>
          <w:r>
            <w:t>55</w:t>
          </w:r>
          <w:r>
            <w:fldChar w:fldCharType="end"/>
          </w:r>
          <w:r>
            <w:fldChar w:fldCharType="end"/>
          </w:r>
        </w:p>
        <w:p>
          <w:pPr>
            <w:pStyle w:val="20"/>
            <w:tabs>
              <w:tab w:val="left" w:pos="1680"/>
              <w:tab w:val="right" w:leader="dot" w:pos="8296"/>
            </w:tabs>
            <w:ind w:left="600"/>
            <w:rPr>
              <w:rFonts w:asciiTheme="minorHAnsi" w:hAnsiTheme="minorHAnsi" w:eastAsiaTheme="minorEastAsia" w:cstheme="minorBidi"/>
              <w:sz w:val="21"/>
              <w:szCs w:val="22"/>
            </w:rPr>
          </w:pPr>
          <w:r>
            <w:fldChar w:fldCharType="begin"/>
          </w:r>
          <w:r>
            <w:instrText xml:space="preserve"> HYPERLINK \l "_Toc66031126" </w:instrText>
          </w:r>
          <w:r>
            <w:fldChar w:fldCharType="separate"/>
          </w:r>
          <w:r>
            <w:rPr>
              <w:rStyle w:val="28"/>
              <w:rFonts w:hint="eastAsia"/>
            </w:rPr>
            <w:t>第四节</w:t>
          </w:r>
          <w:r>
            <w:rPr>
              <w:rFonts w:asciiTheme="minorHAnsi" w:hAnsiTheme="minorHAnsi" w:eastAsiaTheme="minorEastAsia" w:cstheme="minorBidi"/>
              <w:sz w:val="21"/>
              <w:szCs w:val="22"/>
            </w:rPr>
            <w:tab/>
          </w:r>
          <w:r>
            <w:rPr>
              <w:rStyle w:val="28"/>
              <w:rFonts w:hint="eastAsia"/>
            </w:rPr>
            <w:t>倡导绿色生活方式</w:t>
          </w:r>
          <w:r>
            <w:tab/>
          </w:r>
          <w:r>
            <w:fldChar w:fldCharType="begin"/>
          </w:r>
          <w:r>
            <w:instrText xml:space="preserve"> PAGEREF _Toc66031126 \h </w:instrText>
          </w:r>
          <w:r>
            <w:fldChar w:fldCharType="separate"/>
          </w:r>
          <w:r>
            <w:t>56</w:t>
          </w:r>
          <w:r>
            <w:fldChar w:fldCharType="end"/>
          </w:r>
          <w:r>
            <w:fldChar w:fldCharType="end"/>
          </w:r>
        </w:p>
        <w:p>
          <w:pPr>
            <w:pStyle w:val="18"/>
            <w:tabs>
              <w:tab w:val="right" w:leader="dot" w:pos="8296"/>
            </w:tabs>
            <w:rPr>
              <w:rFonts w:asciiTheme="minorHAnsi" w:hAnsiTheme="minorHAnsi" w:eastAsiaTheme="minorEastAsia" w:cstheme="minorBidi"/>
              <w:sz w:val="21"/>
              <w:szCs w:val="22"/>
            </w:rPr>
          </w:pPr>
          <w:r>
            <w:fldChar w:fldCharType="begin"/>
          </w:r>
          <w:r>
            <w:instrText xml:space="preserve"> HYPERLINK \l "_Toc66031127" </w:instrText>
          </w:r>
          <w:r>
            <w:fldChar w:fldCharType="separate"/>
          </w:r>
          <w:r>
            <w:rPr>
              <w:rStyle w:val="28"/>
              <w:rFonts w:hint="eastAsia" w:eastAsia="仿宋_GB2312"/>
            </w:rPr>
            <w:t>第九章 弘扬独具特色的生态文化</w:t>
          </w:r>
          <w:r>
            <w:tab/>
          </w:r>
          <w:r>
            <w:fldChar w:fldCharType="begin"/>
          </w:r>
          <w:r>
            <w:instrText xml:space="preserve"> PAGEREF _Toc66031127 \h </w:instrText>
          </w:r>
          <w:r>
            <w:fldChar w:fldCharType="separate"/>
          </w:r>
          <w:r>
            <w:t>58</w:t>
          </w:r>
          <w:r>
            <w:fldChar w:fldCharType="end"/>
          </w:r>
          <w:r>
            <w:fldChar w:fldCharType="end"/>
          </w:r>
        </w:p>
        <w:p>
          <w:pPr>
            <w:pStyle w:val="20"/>
            <w:tabs>
              <w:tab w:val="left" w:pos="1680"/>
              <w:tab w:val="right" w:leader="dot" w:pos="8296"/>
            </w:tabs>
            <w:ind w:left="600"/>
            <w:rPr>
              <w:rFonts w:asciiTheme="minorHAnsi" w:hAnsiTheme="minorHAnsi" w:eastAsiaTheme="minorEastAsia" w:cstheme="minorBidi"/>
              <w:sz w:val="21"/>
              <w:szCs w:val="22"/>
            </w:rPr>
          </w:pPr>
          <w:r>
            <w:fldChar w:fldCharType="begin"/>
          </w:r>
          <w:r>
            <w:instrText xml:space="preserve"> HYPERLINK \l "_Toc66031128" </w:instrText>
          </w:r>
          <w:r>
            <w:fldChar w:fldCharType="separate"/>
          </w:r>
          <w:r>
            <w:rPr>
              <w:rStyle w:val="28"/>
              <w:rFonts w:hint="eastAsia"/>
            </w:rPr>
            <w:t>第一节</w:t>
          </w:r>
          <w:r>
            <w:rPr>
              <w:rFonts w:asciiTheme="minorHAnsi" w:hAnsiTheme="minorHAnsi" w:eastAsiaTheme="minorEastAsia" w:cstheme="minorBidi"/>
              <w:sz w:val="21"/>
              <w:szCs w:val="22"/>
            </w:rPr>
            <w:tab/>
          </w:r>
          <w:r>
            <w:rPr>
              <w:rStyle w:val="28"/>
              <w:rFonts w:hint="eastAsia"/>
            </w:rPr>
            <w:t>保护传承传统生态文化</w:t>
          </w:r>
          <w:r>
            <w:tab/>
          </w:r>
          <w:r>
            <w:fldChar w:fldCharType="begin"/>
          </w:r>
          <w:r>
            <w:instrText xml:space="preserve"> PAGEREF _Toc66031128 \h </w:instrText>
          </w:r>
          <w:r>
            <w:fldChar w:fldCharType="separate"/>
          </w:r>
          <w:r>
            <w:t>58</w:t>
          </w:r>
          <w:r>
            <w:fldChar w:fldCharType="end"/>
          </w:r>
          <w:r>
            <w:fldChar w:fldCharType="end"/>
          </w:r>
        </w:p>
        <w:p>
          <w:pPr>
            <w:pStyle w:val="20"/>
            <w:tabs>
              <w:tab w:val="left" w:pos="1680"/>
              <w:tab w:val="right" w:leader="dot" w:pos="8296"/>
            </w:tabs>
            <w:ind w:left="600"/>
            <w:rPr>
              <w:rFonts w:asciiTheme="minorHAnsi" w:hAnsiTheme="minorHAnsi" w:eastAsiaTheme="minorEastAsia" w:cstheme="minorBidi"/>
              <w:sz w:val="21"/>
              <w:szCs w:val="22"/>
            </w:rPr>
          </w:pPr>
          <w:r>
            <w:fldChar w:fldCharType="begin"/>
          </w:r>
          <w:r>
            <w:instrText xml:space="preserve"> HYPERLINK \l "_Toc66031129" </w:instrText>
          </w:r>
          <w:r>
            <w:fldChar w:fldCharType="separate"/>
          </w:r>
          <w:r>
            <w:rPr>
              <w:rStyle w:val="28"/>
              <w:rFonts w:hint="eastAsia"/>
            </w:rPr>
            <w:t>第二节</w:t>
          </w:r>
          <w:r>
            <w:rPr>
              <w:rFonts w:asciiTheme="minorHAnsi" w:hAnsiTheme="minorHAnsi" w:eastAsiaTheme="minorEastAsia" w:cstheme="minorBidi"/>
              <w:sz w:val="21"/>
              <w:szCs w:val="22"/>
            </w:rPr>
            <w:tab/>
          </w:r>
          <w:r>
            <w:rPr>
              <w:rStyle w:val="28"/>
              <w:rFonts w:hint="eastAsia"/>
            </w:rPr>
            <w:t>弘扬倡导“两山”文化</w:t>
          </w:r>
          <w:r>
            <w:tab/>
          </w:r>
          <w:r>
            <w:fldChar w:fldCharType="begin"/>
          </w:r>
          <w:r>
            <w:instrText xml:space="preserve"> PAGEREF _Toc66031129 \h </w:instrText>
          </w:r>
          <w:r>
            <w:fldChar w:fldCharType="separate"/>
          </w:r>
          <w:r>
            <w:t>59</w:t>
          </w:r>
          <w:r>
            <w:fldChar w:fldCharType="end"/>
          </w:r>
          <w:r>
            <w:fldChar w:fldCharType="end"/>
          </w:r>
        </w:p>
        <w:p>
          <w:pPr>
            <w:pStyle w:val="20"/>
            <w:tabs>
              <w:tab w:val="left" w:pos="1680"/>
              <w:tab w:val="right" w:leader="dot" w:pos="8296"/>
            </w:tabs>
            <w:ind w:left="600"/>
            <w:rPr>
              <w:rFonts w:asciiTheme="minorHAnsi" w:hAnsiTheme="minorHAnsi" w:eastAsiaTheme="minorEastAsia" w:cstheme="minorBidi"/>
              <w:sz w:val="21"/>
              <w:szCs w:val="22"/>
            </w:rPr>
          </w:pPr>
          <w:r>
            <w:fldChar w:fldCharType="begin"/>
          </w:r>
          <w:r>
            <w:instrText xml:space="preserve"> HYPERLINK \l "_Toc66031130" </w:instrText>
          </w:r>
          <w:r>
            <w:fldChar w:fldCharType="separate"/>
          </w:r>
          <w:r>
            <w:rPr>
              <w:rStyle w:val="28"/>
              <w:rFonts w:hint="eastAsia"/>
            </w:rPr>
            <w:t>第三节</w:t>
          </w:r>
          <w:r>
            <w:rPr>
              <w:rFonts w:asciiTheme="minorHAnsi" w:hAnsiTheme="minorHAnsi" w:eastAsiaTheme="minorEastAsia" w:cstheme="minorBidi"/>
              <w:sz w:val="21"/>
              <w:szCs w:val="22"/>
            </w:rPr>
            <w:tab/>
          </w:r>
          <w:r>
            <w:rPr>
              <w:rStyle w:val="28"/>
              <w:rFonts w:hint="eastAsia"/>
            </w:rPr>
            <w:t>加强生态文明教育培训</w:t>
          </w:r>
          <w:r>
            <w:tab/>
          </w:r>
          <w:r>
            <w:fldChar w:fldCharType="begin"/>
          </w:r>
          <w:r>
            <w:instrText xml:space="preserve"> PAGEREF _Toc66031130 \h </w:instrText>
          </w:r>
          <w:r>
            <w:fldChar w:fldCharType="separate"/>
          </w:r>
          <w:r>
            <w:t>60</w:t>
          </w:r>
          <w:r>
            <w:fldChar w:fldCharType="end"/>
          </w:r>
          <w:r>
            <w:fldChar w:fldCharType="end"/>
          </w:r>
        </w:p>
        <w:p>
          <w:pPr>
            <w:pStyle w:val="20"/>
            <w:tabs>
              <w:tab w:val="left" w:pos="1680"/>
              <w:tab w:val="right" w:leader="dot" w:pos="8296"/>
            </w:tabs>
            <w:ind w:left="600"/>
            <w:rPr>
              <w:rFonts w:asciiTheme="minorHAnsi" w:hAnsiTheme="minorHAnsi" w:eastAsiaTheme="minorEastAsia" w:cstheme="minorBidi"/>
              <w:sz w:val="21"/>
              <w:szCs w:val="22"/>
            </w:rPr>
          </w:pPr>
          <w:r>
            <w:fldChar w:fldCharType="begin"/>
          </w:r>
          <w:r>
            <w:instrText xml:space="preserve"> HYPERLINK \l "_Toc66031131" </w:instrText>
          </w:r>
          <w:r>
            <w:fldChar w:fldCharType="separate"/>
          </w:r>
          <w:r>
            <w:rPr>
              <w:rStyle w:val="28"/>
              <w:rFonts w:hint="eastAsia"/>
            </w:rPr>
            <w:t>第四节</w:t>
          </w:r>
          <w:r>
            <w:rPr>
              <w:rFonts w:asciiTheme="minorHAnsi" w:hAnsiTheme="minorHAnsi" w:eastAsiaTheme="minorEastAsia" w:cstheme="minorBidi"/>
              <w:sz w:val="21"/>
              <w:szCs w:val="22"/>
            </w:rPr>
            <w:tab/>
          </w:r>
          <w:r>
            <w:rPr>
              <w:rStyle w:val="28"/>
              <w:rFonts w:hint="eastAsia"/>
            </w:rPr>
            <w:t>提高生态文明宣传力度</w:t>
          </w:r>
          <w:r>
            <w:tab/>
          </w:r>
          <w:r>
            <w:fldChar w:fldCharType="begin"/>
          </w:r>
          <w:r>
            <w:instrText xml:space="preserve"> PAGEREF _Toc66031131 \h </w:instrText>
          </w:r>
          <w:r>
            <w:fldChar w:fldCharType="separate"/>
          </w:r>
          <w:r>
            <w:t>62</w:t>
          </w:r>
          <w:r>
            <w:fldChar w:fldCharType="end"/>
          </w:r>
          <w:r>
            <w:fldChar w:fldCharType="end"/>
          </w:r>
        </w:p>
        <w:p>
          <w:pPr>
            <w:pStyle w:val="18"/>
            <w:tabs>
              <w:tab w:val="right" w:leader="dot" w:pos="8296"/>
            </w:tabs>
            <w:rPr>
              <w:rFonts w:asciiTheme="minorHAnsi" w:hAnsiTheme="minorHAnsi" w:eastAsiaTheme="minorEastAsia" w:cstheme="minorBidi"/>
              <w:sz w:val="21"/>
              <w:szCs w:val="22"/>
            </w:rPr>
          </w:pPr>
          <w:r>
            <w:fldChar w:fldCharType="begin"/>
          </w:r>
          <w:r>
            <w:instrText xml:space="preserve"> HYPERLINK \l "_Toc66031132" </w:instrText>
          </w:r>
          <w:r>
            <w:fldChar w:fldCharType="separate"/>
          </w:r>
          <w:r>
            <w:rPr>
              <w:rStyle w:val="28"/>
              <w:rFonts w:hint="eastAsia" w:eastAsia="仿宋_GB2312"/>
            </w:rPr>
            <w:t>第十章 重点项目</w:t>
          </w:r>
          <w:r>
            <w:tab/>
          </w:r>
          <w:r>
            <w:fldChar w:fldCharType="begin"/>
          </w:r>
          <w:r>
            <w:instrText xml:space="preserve"> PAGEREF _Toc66031132 \h </w:instrText>
          </w:r>
          <w:r>
            <w:fldChar w:fldCharType="separate"/>
          </w:r>
          <w:r>
            <w:t>65</w:t>
          </w:r>
          <w:r>
            <w:fldChar w:fldCharType="end"/>
          </w:r>
          <w:r>
            <w:fldChar w:fldCharType="end"/>
          </w:r>
        </w:p>
        <w:p>
          <w:pPr>
            <w:pStyle w:val="18"/>
            <w:tabs>
              <w:tab w:val="right" w:leader="dot" w:pos="8296"/>
            </w:tabs>
            <w:rPr>
              <w:rFonts w:asciiTheme="minorHAnsi" w:hAnsiTheme="minorHAnsi" w:eastAsiaTheme="minorEastAsia" w:cstheme="minorBidi"/>
              <w:sz w:val="21"/>
              <w:szCs w:val="22"/>
            </w:rPr>
          </w:pPr>
          <w:r>
            <w:fldChar w:fldCharType="begin"/>
          </w:r>
          <w:r>
            <w:instrText xml:space="preserve"> HYPERLINK \l "_Toc66031133" </w:instrText>
          </w:r>
          <w:r>
            <w:fldChar w:fldCharType="separate"/>
          </w:r>
          <w:r>
            <w:rPr>
              <w:rStyle w:val="28"/>
              <w:rFonts w:hint="eastAsia"/>
            </w:rPr>
            <w:t>第十一章 保障措施</w:t>
          </w:r>
          <w:r>
            <w:tab/>
          </w:r>
          <w:r>
            <w:fldChar w:fldCharType="begin"/>
          </w:r>
          <w:r>
            <w:instrText xml:space="preserve"> PAGEREF _Toc66031133 \h </w:instrText>
          </w:r>
          <w:r>
            <w:fldChar w:fldCharType="separate"/>
          </w:r>
          <w:r>
            <w:t>75</w:t>
          </w:r>
          <w:r>
            <w:fldChar w:fldCharType="end"/>
          </w:r>
          <w:r>
            <w:fldChar w:fldCharType="end"/>
          </w:r>
        </w:p>
        <w:p>
          <w:pPr>
            <w:pStyle w:val="20"/>
            <w:tabs>
              <w:tab w:val="left" w:pos="1680"/>
              <w:tab w:val="right" w:leader="dot" w:pos="8296"/>
            </w:tabs>
            <w:ind w:left="600"/>
            <w:rPr>
              <w:rFonts w:asciiTheme="minorHAnsi" w:hAnsiTheme="minorHAnsi" w:eastAsiaTheme="minorEastAsia" w:cstheme="minorBidi"/>
              <w:sz w:val="21"/>
              <w:szCs w:val="22"/>
            </w:rPr>
          </w:pPr>
          <w:r>
            <w:fldChar w:fldCharType="begin"/>
          </w:r>
          <w:r>
            <w:instrText xml:space="preserve"> HYPERLINK \l "_Toc66031134" </w:instrText>
          </w:r>
          <w:r>
            <w:fldChar w:fldCharType="separate"/>
          </w:r>
          <w:r>
            <w:rPr>
              <w:rStyle w:val="28"/>
              <w:rFonts w:hint="eastAsia"/>
            </w:rPr>
            <w:t>第一节</w:t>
          </w:r>
          <w:r>
            <w:rPr>
              <w:rFonts w:asciiTheme="minorHAnsi" w:hAnsiTheme="minorHAnsi" w:eastAsiaTheme="minorEastAsia" w:cstheme="minorBidi"/>
              <w:sz w:val="21"/>
              <w:szCs w:val="22"/>
            </w:rPr>
            <w:tab/>
          </w:r>
          <w:r>
            <w:rPr>
              <w:rStyle w:val="28"/>
              <w:rFonts w:hint="eastAsia"/>
            </w:rPr>
            <w:t>法治机制</w:t>
          </w:r>
          <w:r>
            <w:tab/>
          </w:r>
          <w:r>
            <w:fldChar w:fldCharType="begin"/>
          </w:r>
          <w:r>
            <w:instrText xml:space="preserve"> PAGEREF _Toc66031134 \h </w:instrText>
          </w:r>
          <w:r>
            <w:fldChar w:fldCharType="separate"/>
          </w:r>
          <w:r>
            <w:t>75</w:t>
          </w:r>
          <w:r>
            <w:fldChar w:fldCharType="end"/>
          </w:r>
          <w:r>
            <w:fldChar w:fldCharType="end"/>
          </w:r>
        </w:p>
        <w:p>
          <w:pPr>
            <w:pStyle w:val="20"/>
            <w:tabs>
              <w:tab w:val="left" w:pos="1680"/>
              <w:tab w:val="right" w:leader="dot" w:pos="8296"/>
            </w:tabs>
            <w:ind w:left="600"/>
            <w:rPr>
              <w:rFonts w:asciiTheme="minorHAnsi" w:hAnsiTheme="minorHAnsi" w:eastAsiaTheme="minorEastAsia" w:cstheme="minorBidi"/>
              <w:sz w:val="21"/>
              <w:szCs w:val="22"/>
            </w:rPr>
          </w:pPr>
          <w:r>
            <w:fldChar w:fldCharType="begin"/>
          </w:r>
          <w:r>
            <w:instrText xml:space="preserve"> HYPERLINK \l "_Toc66031135" </w:instrText>
          </w:r>
          <w:r>
            <w:fldChar w:fldCharType="separate"/>
          </w:r>
          <w:r>
            <w:rPr>
              <w:rStyle w:val="28"/>
              <w:rFonts w:hint="eastAsia"/>
            </w:rPr>
            <w:t>第二节</w:t>
          </w:r>
          <w:r>
            <w:rPr>
              <w:rFonts w:asciiTheme="minorHAnsi" w:hAnsiTheme="minorHAnsi" w:eastAsiaTheme="minorEastAsia" w:cstheme="minorBidi"/>
              <w:sz w:val="21"/>
              <w:szCs w:val="22"/>
            </w:rPr>
            <w:tab/>
          </w:r>
          <w:r>
            <w:rPr>
              <w:rStyle w:val="28"/>
              <w:rFonts w:hint="eastAsia"/>
            </w:rPr>
            <w:t>组织领导</w:t>
          </w:r>
          <w:r>
            <w:tab/>
          </w:r>
          <w:r>
            <w:fldChar w:fldCharType="begin"/>
          </w:r>
          <w:r>
            <w:instrText xml:space="preserve"> PAGEREF _Toc66031135 \h </w:instrText>
          </w:r>
          <w:r>
            <w:fldChar w:fldCharType="separate"/>
          </w:r>
          <w:r>
            <w:t>75</w:t>
          </w:r>
          <w:r>
            <w:fldChar w:fldCharType="end"/>
          </w:r>
          <w:r>
            <w:fldChar w:fldCharType="end"/>
          </w:r>
        </w:p>
        <w:p>
          <w:pPr>
            <w:pStyle w:val="20"/>
            <w:tabs>
              <w:tab w:val="left" w:pos="1680"/>
              <w:tab w:val="right" w:leader="dot" w:pos="8296"/>
            </w:tabs>
            <w:ind w:left="600"/>
            <w:rPr>
              <w:rFonts w:asciiTheme="minorHAnsi" w:hAnsiTheme="minorHAnsi" w:eastAsiaTheme="minorEastAsia" w:cstheme="minorBidi"/>
              <w:sz w:val="21"/>
              <w:szCs w:val="22"/>
            </w:rPr>
          </w:pPr>
          <w:r>
            <w:fldChar w:fldCharType="begin"/>
          </w:r>
          <w:r>
            <w:instrText xml:space="preserve"> HYPERLINK \l "_Toc66031136" </w:instrText>
          </w:r>
          <w:r>
            <w:fldChar w:fldCharType="separate"/>
          </w:r>
          <w:r>
            <w:rPr>
              <w:rStyle w:val="28"/>
              <w:rFonts w:hint="eastAsia"/>
            </w:rPr>
            <w:t>第三节</w:t>
          </w:r>
          <w:r>
            <w:rPr>
              <w:rFonts w:asciiTheme="minorHAnsi" w:hAnsiTheme="minorHAnsi" w:eastAsiaTheme="minorEastAsia" w:cstheme="minorBidi"/>
              <w:sz w:val="21"/>
              <w:szCs w:val="22"/>
            </w:rPr>
            <w:tab/>
          </w:r>
          <w:r>
            <w:rPr>
              <w:rStyle w:val="28"/>
              <w:rFonts w:hint="eastAsia"/>
            </w:rPr>
            <w:t>资金保障</w:t>
          </w:r>
          <w:r>
            <w:tab/>
          </w:r>
          <w:r>
            <w:fldChar w:fldCharType="begin"/>
          </w:r>
          <w:r>
            <w:instrText xml:space="preserve"> PAGEREF _Toc66031136 \h </w:instrText>
          </w:r>
          <w:r>
            <w:fldChar w:fldCharType="separate"/>
          </w:r>
          <w:r>
            <w:t>76</w:t>
          </w:r>
          <w:r>
            <w:fldChar w:fldCharType="end"/>
          </w:r>
          <w:r>
            <w:fldChar w:fldCharType="end"/>
          </w:r>
        </w:p>
        <w:p>
          <w:pPr>
            <w:pStyle w:val="20"/>
            <w:tabs>
              <w:tab w:val="left" w:pos="1680"/>
              <w:tab w:val="right" w:leader="dot" w:pos="8296"/>
            </w:tabs>
            <w:ind w:left="600"/>
            <w:rPr>
              <w:rFonts w:asciiTheme="minorHAnsi" w:hAnsiTheme="minorHAnsi" w:eastAsiaTheme="minorEastAsia" w:cstheme="minorBidi"/>
              <w:sz w:val="21"/>
              <w:szCs w:val="22"/>
            </w:rPr>
          </w:pPr>
          <w:r>
            <w:fldChar w:fldCharType="begin"/>
          </w:r>
          <w:r>
            <w:instrText xml:space="preserve"> HYPERLINK \l "_Toc66031137" </w:instrText>
          </w:r>
          <w:r>
            <w:fldChar w:fldCharType="separate"/>
          </w:r>
          <w:r>
            <w:rPr>
              <w:rStyle w:val="28"/>
              <w:rFonts w:hint="eastAsia"/>
            </w:rPr>
            <w:t>第四节</w:t>
          </w:r>
          <w:r>
            <w:rPr>
              <w:rFonts w:asciiTheme="minorHAnsi" w:hAnsiTheme="minorHAnsi" w:eastAsiaTheme="minorEastAsia" w:cstheme="minorBidi"/>
              <w:sz w:val="21"/>
              <w:szCs w:val="22"/>
            </w:rPr>
            <w:tab/>
          </w:r>
          <w:r>
            <w:rPr>
              <w:rStyle w:val="28"/>
              <w:rFonts w:hint="eastAsia"/>
            </w:rPr>
            <w:t>技术支撑</w:t>
          </w:r>
          <w:r>
            <w:tab/>
          </w:r>
          <w:r>
            <w:fldChar w:fldCharType="begin"/>
          </w:r>
          <w:r>
            <w:instrText xml:space="preserve"> PAGEREF _Toc66031137 \h </w:instrText>
          </w:r>
          <w:r>
            <w:fldChar w:fldCharType="separate"/>
          </w:r>
          <w:r>
            <w:t>76</w:t>
          </w:r>
          <w:r>
            <w:fldChar w:fldCharType="end"/>
          </w:r>
          <w:r>
            <w:fldChar w:fldCharType="end"/>
          </w:r>
        </w:p>
        <w:p>
          <w:pPr>
            <w:pStyle w:val="20"/>
            <w:tabs>
              <w:tab w:val="left" w:pos="1680"/>
              <w:tab w:val="right" w:leader="dot" w:pos="8296"/>
            </w:tabs>
            <w:ind w:left="600"/>
            <w:rPr>
              <w:rFonts w:asciiTheme="minorHAnsi" w:hAnsiTheme="minorHAnsi" w:eastAsiaTheme="minorEastAsia" w:cstheme="minorBidi"/>
              <w:sz w:val="21"/>
              <w:szCs w:val="22"/>
            </w:rPr>
          </w:pPr>
          <w:r>
            <w:fldChar w:fldCharType="begin"/>
          </w:r>
          <w:r>
            <w:instrText xml:space="preserve"> HYPERLINK \l "_Toc66031138" </w:instrText>
          </w:r>
          <w:r>
            <w:fldChar w:fldCharType="separate"/>
          </w:r>
          <w:r>
            <w:rPr>
              <w:rStyle w:val="28"/>
              <w:rFonts w:hint="eastAsia"/>
            </w:rPr>
            <w:t>第五节</w:t>
          </w:r>
          <w:r>
            <w:rPr>
              <w:rFonts w:asciiTheme="minorHAnsi" w:hAnsiTheme="minorHAnsi" w:eastAsiaTheme="minorEastAsia" w:cstheme="minorBidi"/>
              <w:sz w:val="21"/>
              <w:szCs w:val="22"/>
            </w:rPr>
            <w:tab/>
          </w:r>
          <w:r>
            <w:rPr>
              <w:rStyle w:val="28"/>
              <w:rFonts w:hint="eastAsia"/>
            </w:rPr>
            <w:t>公众参与</w:t>
          </w:r>
          <w:r>
            <w:tab/>
          </w:r>
          <w:r>
            <w:fldChar w:fldCharType="begin"/>
          </w:r>
          <w:r>
            <w:instrText xml:space="preserve"> PAGEREF _Toc66031138 \h </w:instrText>
          </w:r>
          <w:r>
            <w:fldChar w:fldCharType="separate"/>
          </w:r>
          <w:r>
            <w:t>77</w:t>
          </w:r>
          <w:r>
            <w:fldChar w:fldCharType="end"/>
          </w:r>
          <w:r>
            <w:fldChar w:fldCharType="end"/>
          </w:r>
        </w:p>
        <w:p>
          <w:pPr>
            <w:spacing w:line="360" w:lineRule="auto"/>
            <w:ind w:firstLine="480"/>
          </w:pPr>
          <w:r>
            <w:rPr>
              <w:rFonts w:ascii="楷体" w:hAnsi="楷体" w:eastAsia="楷体"/>
              <w:bCs/>
              <w:sz w:val="24"/>
              <w:szCs w:val="24"/>
              <w:lang w:val="zh-CN"/>
            </w:rPr>
            <w:fldChar w:fldCharType="end"/>
          </w:r>
        </w:p>
      </w:sdtContent>
    </w:sdt>
    <w:p>
      <w:pPr>
        <w:tabs>
          <w:tab w:val="center" w:pos="4153"/>
        </w:tabs>
        <w:ind w:firstLine="600" w:firstLineChars="200"/>
        <w:rPr>
          <w:rFonts w:cs="Times New Roman"/>
          <w:szCs w:val="28"/>
        </w:rPr>
        <w:sectPr>
          <w:footerReference r:id="rId6" w:type="default"/>
          <w:pgSz w:w="11906" w:h="16838"/>
          <w:pgMar w:top="1440" w:right="1800" w:bottom="1440" w:left="1800" w:header="851" w:footer="992" w:gutter="0"/>
          <w:pgNumType w:fmt="upperRoman" w:start="1"/>
          <w:cols w:space="425" w:num="1"/>
          <w:docGrid w:type="lines" w:linePitch="312" w:charSpace="0"/>
        </w:sectPr>
      </w:pPr>
    </w:p>
    <w:p>
      <w:pPr>
        <w:pStyle w:val="2"/>
      </w:pPr>
      <w:bookmarkStart w:id="7" w:name="_Toc503535038"/>
      <w:bookmarkStart w:id="8" w:name="_Toc495420996"/>
      <w:bookmarkStart w:id="9" w:name="_Toc495420990"/>
      <w:r>
        <w:t xml:space="preserve"> </w:t>
      </w:r>
      <w:bookmarkEnd w:id="7"/>
      <w:bookmarkEnd w:id="8"/>
      <w:bookmarkStart w:id="10" w:name="_Toc66031090"/>
      <w:r>
        <w:rPr>
          <w:rFonts w:hint="eastAsia"/>
        </w:rPr>
        <w:t>工作基础与形势分析</w:t>
      </w:r>
      <w:bookmarkEnd w:id="10"/>
    </w:p>
    <w:p>
      <w:pPr>
        <w:pStyle w:val="3"/>
      </w:pPr>
      <w:bookmarkStart w:id="11" w:name="_Toc66031091"/>
      <w:r>
        <w:rPr>
          <w:rFonts w:hint="eastAsia"/>
        </w:rPr>
        <w:t>区域概况与建设基础</w:t>
      </w:r>
      <w:bookmarkEnd w:id="11"/>
    </w:p>
    <w:p>
      <w:pPr>
        <w:rPr>
          <w:b/>
        </w:rPr>
      </w:pPr>
      <w:r>
        <w:rPr>
          <w:rFonts w:hint="eastAsia"/>
          <w:b/>
        </w:rPr>
        <w:t>一、区域概况</w:t>
      </w:r>
    </w:p>
    <w:p>
      <w:pPr>
        <w:spacing w:line="384" w:lineRule="auto"/>
        <w:ind w:firstLine="600" w:firstLineChars="200"/>
      </w:pPr>
      <w:r>
        <w:rPr>
          <w:rFonts w:hint="eastAsia"/>
        </w:rPr>
        <w:t>江北区地处宁波市“三江”片，位于宁波市区西北侧，东南临甬江与鄞州区相望，南濒姚江，与海曙区连接，东北毗邻镇海区，西接余姚市。境域东西长约27公里，南北宽约20公里，总面积208平方公里，下辖1镇7街道，</w:t>
      </w:r>
      <w:r>
        <w:t>2019年</w:t>
      </w:r>
      <w:r>
        <w:rPr>
          <w:rFonts w:hint="eastAsia"/>
        </w:rPr>
        <w:t>户籍人口26.28万人，常住人口4</w:t>
      </w:r>
      <w:r>
        <w:t>1.1万人</w:t>
      </w:r>
      <w:r>
        <w:rPr>
          <w:rFonts w:hint="eastAsia"/>
        </w:rPr>
        <w:t>。</w:t>
      </w:r>
      <w:r>
        <w:t>江北区地形分为</w:t>
      </w:r>
      <w:r>
        <w:rPr>
          <w:rFonts w:hint="eastAsia"/>
        </w:rPr>
        <w:t>东南平原区、西北平原区和西北丘陵区三个部分，最高峰为慈城镇境内小黄泥尖，高程 385.7m。境内河流属甬江流域，内河河流纵横，形成典型的江南水乡水系网络，主要河流有甬江、姚江、慈江及江北大河等。</w:t>
      </w:r>
    </w:p>
    <w:p>
      <w:pPr>
        <w:spacing w:line="384" w:lineRule="auto"/>
        <w:ind w:firstLine="600" w:firstLineChars="200"/>
      </w:pPr>
      <w:r>
        <w:rPr>
          <w:rFonts w:hint="eastAsia"/>
        </w:rPr>
        <w:t>江北区历史悠久、人文荟萃，是宁波七千年文明史、二千五百年建城史和一百七十多年对外通商史的三大发源地，有中国江南地区保存最完整千年古慈城，长江以南保存最完整、最古老千年保国寺；区位优势独特、旅游资源丰富，是宁波“环都市旅游圈和三江风情旅游带”开发的核心区，慈城古镇游、北山休闲游、外滩风情游等盛名远播；区域环境优美、宜居宜业，区域北靠青山、南滨绿水，日湖、星湖、荪湖点缀其间，呈现“两山两水六分田”的格局；辖区产业扎实、结构优良，2019年全区实现生产总值639.6亿元，按可比价格计算，同比增长7.9%，三次产业结构比重为1.2∶31.0∶67.8。</w:t>
      </w:r>
    </w:p>
    <w:p>
      <w:pPr>
        <w:spacing w:line="384" w:lineRule="auto"/>
        <w:ind w:firstLine="600" w:firstLineChars="200"/>
      </w:pPr>
    </w:p>
    <w:p>
      <w:pPr>
        <w:rPr>
          <w:b/>
        </w:rPr>
      </w:pPr>
      <w:r>
        <w:rPr>
          <w:b/>
        </w:rPr>
        <w:t>二</w:t>
      </w:r>
      <w:r>
        <w:rPr>
          <w:rFonts w:hint="eastAsia"/>
          <w:b/>
        </w:rPr>
        <w:t>、</w:t>
      </w:r>
      <w:r>
        <w:rPr>
          <w:b/>
        </w:rPr>
        <w:t>建设基础</w:t>
      </w:r>
    </w:p>
    <w:p>
      <w:pPr>
        <w:spacing w:line="384" w:lineRule="auto"/>
        <w:ind w:firstLine="600" w:firstLineChars="200"/>
        <w:rPr>
          <w:rFonts w:cs="Times New Roman"/>
          <w:szCs w:val="28"/>
        </w:rPr>
      </w:pPr>
      <w:bookmarkStart w:id="12" w:name="OLE_LINK9"/>
      <w:bookmarkStart w:id="13" w:name="OLE_LINK10"/>
      <w:r>
        <w:rPr>
          <w:rFonts w:hint="eastAsia" w:cs="Times New Roman"/>
          <w:szCs w:val="28"/>
        </w:rPr>
        <w:t>江北区自2006年就提出了“构筑生态文明大区”的发展战略，历任党委政府始终高度重视生态建设工作，生态文明建设成效明显。近年来，江北区深入贯彻党的十九大及二中、三中、四中、五全会精神，以习近平新时代中国特色社会主义思想为指引，始终坚持“绿水青山就是金山银山”的发展理念，一手抓经济社会快速发展，一手抓生态环境持续改善，先后成功创建国家生态区、省级生态文明建设示范区，获得省“五水共治”大禹鼎，成功举办全国国土资源节约集约示范省建设暨城镇低效用地现场会、全市新时代美丽乡村建设暨乡村产业发展现场会等各类会议、率先全市完成生态保护红线划定部级确认。在全面进入“美丽江北”建设新时期，区委在九届九次全体（扩大）会议中将积极创建国家生态文明建设示范区列入十项具有江北特色标志性成果之一，把生态文明建设示范区建设工作作为推进生态文明建设的重要载体和抓手，打造生态文明建设江北样板，为生态文明建设提供了良好的基础条件。</w:t>
      </w:r>
    </w:p>
    <w:p>
      <w:pPr>
        <w:spacing w:line="384" w:lineRule="auto"/>
        <w:ind w:firstLine="602" w:firstLineChars="200"/>
        <w:rPr>
          <w:rFonts w:cs="Times New Roman"/>
          <w:b/>
          <w:szCs w:val="28"/>
        </w:rPr>
      </w:pPr>
      <w:r>
        <w:rPr>
          <w:rFonts w:hint="eastAsia" w:cs="Times New Roman"/>
          <w:b/>
          <w:szCs w:val="28"/>
        </w:rPr>
        <w:t>（一）高质量发展成效显著</w:t>
      </w:r>
    </w:p>
    <w:p>
      <w:pPr>
        <w:spacing w:line="384" w:lineRule="auto"/>
        <w:ind w:firstLine="600" w:firstLineChars="200"/>
        <w:rPr>
          <w:rFonts w:cs="Times New Roman"/>
          <w:szCs w:val="28"/>
        </w:rPr>
      </w:pPr>
      <w:r>
        <w:rPr>
          <w:rFonts w:hint="eastAsia" w:cs="Times New Roman"/>
          <w:szCs w:val="28"/>
        </w:rPr>
        <w:t>江北区始终坚持把绿色发展作为高质量发展的普遍形态，走出一条高速发展与生态保护共进融合之路。2019年全区实现生产总值639.6亿元，同比增长7.9%，年度增速实现全市“四连冠”，全国综合实力百强区排名升至第54位，在2019年高质量发展目标综合得分中位居全市第二。深化“亩均论英雄”改革，亩均产出和亩均税收等核心指标进入全省十强，获评全省“亩均论英雄”改革工作成效明显区。创新土地节约集约利用模式，实施差别化调控和多元化改造，获评省级国土资源节约集约模范区，并获国务院办公厅通报表彰。</w:t>
      </w:r>
    </w:p>
    <w:p>
      <w:pPr>
        <w:spacing w:line="384" w:lineRule="auto"/>
        <w:ind w:firstLine="602" w:firstLineChars="200"/>
        <w:rPr>
          <w:rFonts w:cs="Times New Roman"/>
          <w:b/>
          <w:szCs w:val="28"/>
        </w:rPr>
      </w:pPr>
      <w:r>
        <w:rPr>
          <w:rFonts w:hint="eastAsia" w:cs="Times New Roman"/>
          <w:b/>
          <w:szCs w:val="28"/>
        </w:rPr>
        <w:t>（二）生态环境质量大幅改善</w:t>
      </w:r>
    </w:p>
    <w:p>
      <w:pPr>
        <w:spacing w:line="384" w:lineRule="auto"/>
        <w:ind w:firstLine="600" w:firstLineChars="200"/>
        <w:rPr>
          <w:rFonts w:cs="Times New Roman"/>
          <w:szCs w:val="28"/>
        </w:rPr>
      </w:pPr>
      <w:r>
        <w:rPr>
          <w:rFonts w:hint="eastAsia" w:cs="Times New Roman"/>
          <w:szCs w:val="28"/>
        </w:rPr>
        <w:t>江北区以切实改善生态环境质量为核心，紧紧围绕生态环境突出问题，深入实施气、水、土治理任务，生态环境质量持续向好。完成全市首个全区域禁燃区划定，全面完成燃气锅炉、炉窑的低氮燃烧改造，整治提升挥发性有机物（VOCs）重点排放企业，减排量达1400吨/年，2019年大气环境质量PM</w:t>
      </w:r>
      <w:r>
        <w:rPr>
          <w:rFonts w:hint="eastAsia" w:cs="Times New Roman"/>
          <w:szCs w:val="28"/>
          <w:vertAlign w:val="subscript"/>
        </w:rPr>
        <w:t>2.5</w:t>
      </w:r>
      <w:r>
        <w:rPr>
          <w:rFonts w:hint="eastAsia" w:cs="Times New Roman"/>
          <w:szCs w:val="28"/>
        </w:rPr>
        <w:t>浓度31微克/立方米，比201</w:t>
      </w:r>
      <w:r>
        <w:rPr>
          <w:rFonts w:cs="Times New Roman"/>
          <w:szCs w:val="28"/>
        </w:rPr>
        <w:t>6</w:t>
      </w:r>
      <w:r>
        <w:rPr>
          <w:rFonts w:hint="eastAsia" w:cs="Times New Roman"/>
          <w:szCs w:val="28"/>
        </w:rPr>
        <w:t>年下降了</w:t>
      </w:r>
      <w:r>
        <w:rPr>
          <w:rFonts w:cs="Times New Roman"/>
          <w:szCs w:val="28"/>
        </w:rPr>
        <w:t>22.5</w:t>
      </w:r>
      <w:r>
        <w:rPr>
          <w:rFonts w:hint="eastAsia" w:cs="Times New Roman"/>
          <w:szCs w:val="28"/>
        </w:rPr>
        <w:t>%。坚持流域整治理念，着力推进污水处置终端建设和污水管网改造提升三年行动，成功创建5个街道“污水零直排”，2</w:t>
      </w:r>
      <w:r>
        <w:rPr>
          <w:rFonts w:cs="Times New Roman"/>
          <w:szCs w:val="28"/>
        </w:rPr>
        <w:t>019年</w:t>
      </w:r>
      <w:r>
        <w:rPr>
          <w:rFonts w:hint="eastAsia" w:cs="Times New Roman"/>
          <w:szCs w:val="28"/>
        </w:rPr>
        <w:t>市控及以上断面水环境质量优良率和功能达标率均为100%，集中式饮用水水源地水质均优于Ⅲ类，水环境明显改善。扎实推进土壤污染防治行动，不断提升固废减量化、资源化、无害化处理水平，建成固废消纳场地近4万平方米，新增年处理能力30万吨，全区危险废物利用处置率保持100%。</w:t>
      </w:r>
    </w:p>
    <w:p>
      <w:pPr>
        <w:spacing w:line="384" w:lineRule="auto"/>
        <w:ind w:firstLine="602" w:firstLineChars="200"/>
        <w:rPr>
          <w:rFonts w:cs="Times New Roman"/>
          <w:b/>
          <w:szCs w:val="28"/>
        </w:rPr>
      </w:pPr>
      <w:r>
        <w:rPr>
          <w:rFonts w:hint="eastAsia" w:cs="Times New Roman"/>
          <w:b/>
          <w:szCs w:val="28"/>
        </w:rPr>
        <w:t>（三）“两山”转换通道创新打通</w:t>
      </w:r>
    </w:p>
    <w:p>
      <w:pPr>
        <w:spacing w:line="384" w:lineRule="auto"/>
        <w:ind w:firstLine="600" w:firstLineChars="200"/>
        <w:rPr>
          <w:rFonts w:cs="Times New Roman"/>
          <w:szCs w:val="28"/>
        </w:rPr>
      </w:pPr>
      <w:r>
        <w:rPr>
          <w:rFonts w:hint="eastAsia" w:cs="Times New Roman"/>
          <w:szCs w:val="28"/>
        </w:rPr>
        <w:t>江北区深入践行“绿水青山就是金山银山”重要理念，在高水平推进城乡融合发展和生态文明建设上干在实处、走在前列，以建设新时代美丽乡村先进区为导向，全面推进新时代美丽乡村建设，被列入部省共建乡村振兴示范省先行创建试点，成为全省首批实施乡村振兴战略优秀单位，打造了毛岙村、鞍山村、达人村、洪塘湾等一批“两山”转换优秀项目。慈城镇成为全省第一批美丽乡村示范乡镇，田园北郊被评为首批全国农村产业融合示范园，毛岙村获评中国美丽休闲乡村称号，鞍山村获评全省美丽乡村特色精品村以及首批休闲旅游示范村。人居环境质量得到系统性改善，位居全国绿色发展百强区第35位。</w:t>
      </w:r>
    </w:p>
    <w:p>
      <w:pPr>
        <w:spacing w:line="384" w:lineRule="auto"/>
        <w:ind w:firstLine="602" w:firstLineChars="200"/>
        <w:rPr>
          <w:rFonts w:cs="Times New Roman"/>
          <w:b/>
          <w:szCs w:val="28"/>
        </w:rPr>
      </w:pPr>
      <w:r>
        <w:rPr>
          <w:rFonts w:hint="eastAsia" w:cs="Times New Roman"/>
          <w:b/>
          <w:szCs w:val="28"/>
        </w:rPr>
        <w:t>（四）生态环境满意度明显提升</w:t>
      </w:r>
    </w:p>
    <w:p>
      <w:pPr>
        <w:spacing w:line="384" w:lineRule="auto"/>
        <w:ind w:firstLine="600" w:firstLineChars="200"/>
        <w:rPr>
          <w:rFonts w:cs="Times New Roman"/>
          <w:szCs w:val="28"/>
        </w:rPr>
      </w:pPr>
      <w:r>
        <w:rPr>
          <w:rFonts w:hint="eastAsia" w:cs="Times New Roman"/>
          <w:szCs w:val="28"/>
        </w:rPr>
        <w:t>深入开展生态文化建设宣传，不断将生态文明建设的理念向社区、村庄拓展，生态文明建设参与度和满意度明显提升，在2019年全省生态文明建设满意度测评中获84.4分，列全大市第2名；参与度获83.71，列全大市第1名。全省五水共治满意度测评位居全省第26名，全市第</w:t>
      </w:r>
      <w:r>
        <w:rPr>
          <w:rFonts w:cs="Times New Roman"/>
          <w:szCs w:val="28"/>
        </w:rPr>
        <w:t>2</w:t>
      </w:r>
      <w:r>
        <w:rPr>
          <w:rFonts w:hint="eastAsia" w:cs="Times New Roman"/>
          <w:szCs w:val="28"/>
        </w:rPr>
        <w:t>名。群众环保投诉逐年下降，两轮中央环保督查群众投诉全市数量最少。治污剿劣、污染减排、绿色集约发展等生态领域工作多次得到各级领导批示肯定及中央、省级媒体宣传报道。</w:t>
      </w:r>
    </w:p>
    <w:p>
      <w:pPr>
        <w:spacing w:line="384" w:lineRule="auto"/>
        <w:ind w:firstLine="602" w:firstLineChars="200"/>
        <w:rPr>
          <w:rFonts w:cs="Times New Roman"/>
          <w:b/>
          <w:szCs w:val="28"/>
        </w:rPr>
      </w:pPr>
      <w:r>
        <w:rPr>
          <w:rFonts w:hint="eastAsia" w:cs="Times New Roman"/>
          <w:b/>
          <w:szCs w:val="28"/>
        </w:rPr>
        <w:t>（五）现代化治理水平显著提高</w:t>
      </w:r>
    </w:p>
    <w:p>
      <w:pPr>
        <w:spacing w:line="384" w:lineRule="auto"/>
        <w:ind w:firstLine="600" w:firstLineChars="200"/>
        <w:rPr>
          <w:rFonts w:cs="Times New Roman"/>
          <w:szCs w:val="28"/>
        </w:rPr>
      </w:pPr>
      <w:r>
        <w:rPr>
          <w:rFonts w:hint="eastAsia" w:cs="Times New Roman"/>
          <w:szCs w:val="28"/>
        </w:rPr>
        <w:t>成立由区委区政府主要领导任双组长，全区各相关部门负责人为成员的美丽江北建设工作领导小组和生态文明建设示范区创建工作领导小组。出台《江北区生态环境保护工作责任规定》，进一步健全党政协同的生态环境工作体系。将领导干部生态文明建设职责履行情况纳入到年度考核评价体系中，并将考核结果作为领导班子和领导干部奖惩和提拔使用的重要参考。全面实施街道（镇）生态环境状况报告制度，实施“三线一单”生态环境分区管控，明确生态环境准入清单。积极开展“绿剑</w:t>
      </w:r>
      <w:r>
        <w:rPr>
          <w:rFonts w:hint="cs" w:cs="Times New Roman"/>
          <w:szCs w:val="28"/>
        </w:rPr>
        <w:t>•</w:t>
      </w:r>
      <w:r>
        <w:rPr>
          <w:rFonts w:hint="eastAsia" w:cs="Times New Roman"/>
          <w:szCs w:val="28"/>
        </w:rPr>
        <w:t>卫蓝”、“绿剑</w:t>
      </w:r>
      <w:r>
        <w:rPr>
          <w:rFonts w:hint="cs" w:cs="Times New Roman"/>
          <w:szCs w:val="28"/>
        </w:rPr>
        <w:t>•</w:t>
      </w:r>
      <w:r>
        <w:rPr>
          <w:rFonts w:hint="eastAsia" w:cs="Times New Roman"/>
          <w:szCs w:val="28"/>
        </w:rPr>
        <w:t>护水”、“绿剑</w:t>
      </w:r>
      <w:r>
        <w:rPr>
          <w:rFonts w:hint="cs" w:cs="Times New Roman"/>
          <w:szCs w:val="28"/>
        </w:rPr>
        <w:t>•</w:t>
      </w:r>
      <w:r>
        <w:rPr>
          <w:rFonts w:hint="eastAsia" w:cs="Times New Roman"/>
          <w:szCs w:val="28"/>
        </w:rPr>
        <w:t>净土”等九大专项执法行动，建立了覆盖城乡的生态环境维护机制和城乡环境管理机制。</w:t>
      </w:r>
    </w:p>
    <w:p>
      <w:pPr>
        <w:pStyle w:val="3"/>
      </w:pPr>
      <w:bookmarkStart w:id="14" w:name="_Toc66031092"/>
      <w:r>
        <w:t>存在问题与压力</w:t>
      </w:r>
      <w:r>
        <w:rPr>
          <w:rFonts w:hint="eastAsia"/>
        </w:rPr>
        <w:t>预测</w:t>
      </w:r>
      <w:bookmarkEnd w:id="14"/>
    </w:p>
    <w:p>
      <w:pPr>
        <w:ind w:firstLine="600" w:firstLineChars="200"/>
      </w:pPr>
      <w:r>
        <w:rPr>
          <w:rFonts w:hint="eastAsia"/>
        </w:rPr>
        <w:t>江北区在生态文明建设取得的成效的同时，与城市的高定位、群众的高期盼之间还有一定的差距，生态环境保护结构性、根源性、趋势性压力总体上尚未根本缓解，污染防治攻坚战还存在思想认识不够深、改善水平不够高、工作成效不够稳、涉及领域不够宽、治理范围不够广等问题。</w:t>
      </w:r>
    </w:p>
    <w:p>
      <w:pPr>
        <w:spacing w:line="384" w:lineRule="auto"/>
        <w:ind w:firstLine="602" w:firstLineChars="200"/>
      </w:pPr>
      <w:r>
        <w:rPr>
          <w:rFonts w:hint="eastAsia"/>
          <w:b/>
        </w:rPr>
        <w:t>经济发展与污染减排矛盾依然存在。</w:t>
      </w:r>
      <w:r>
        <w:rPr>
          <w:rFonts w:hint="eastAsia"/>
        </w:rPr>
        <w:t>近年来江北区经济增长速度持续名列全市前茅，未来经济仍将保持中高速增长，污染物新增量涨幅有望逐步收窄，但后工业化与城镇化的快速发展必然带来资源能源需求和污染物排放总量的刚性增长，削减存量污染物任务依然艰巨，经过多年的总量控制和减排工程的推进，部分领域减排潜力已是有限，经济高效快速发展与污染持续减排矛盾依然存在。</w:t>
      </w:r>
    </w:p>
    <w:p>
      <w:pPr>
        <w:spacing w:line="384" w:lineRule="auto"/>
        <w:ind w:firstLine="602" w:firstLineChars="200"/>
      </w:pPr>
      <w:r>
        <w:rPr>
          <w:rFonts w:hint="eastAsia"/>
          <w:b/>
        </w:rPr>
        <w:t>生态环境质量改善成效还不稳固。</w:t>
      </w:r>
      <w:r>
        <w:rPr>
          <w:rFonts w:hint="eastAsia"/>
        </w:rPr>
        <w:t>大气环境质量虽然大幅度提升，但全面稳定达标还需努力，大气复合污染态势显著，臭氧污染逐渐凸显；地表水环境质量易反弹波动，土壤、农业面源和地下水的污染防治尚处于起步阶段；污水处理设施、管网建设养护、一般固废等领域处置处理能力仍然存在短板。</w:t>
      </w:r>
    </w:p>
    <w:p>
      <w:pPr>
        <w:spacing w:line="384" w:lineRule="auto"/>
        <w:ind w:firstLine="602" w:firstLineChars="200"/>
      </w:pPr>
      <w:r>
        <w:rPr>
          <w:rFonts w:hint="eastAsia"/>
          <w:b/>
        </w:rPr>
        <w:t>满足公众生态环境诉求压力不断增加。</w:t>
      </w:r>
      <w:r>
        <w:rPr>
          <w:rFonts w:hint="eastAsia"/>
        </w:rPr>
        <w:t>随着生态文明建设的不断深入，江北区面临的资源瓶颈和环境质量改善压力日益突出，生态环境质量短板与社会公众环境诉求提高的矛盾越来越大。随着社会公众对生态文明意识的不断强化，对生态环境质量改善的敏感度和需求度也日益增加，对环境风险容忍度越来越低。近年来江北区生态环境已经有了明显的改善，但改善的速度和社会公众的期望度仍不匹配，大气环境、部分河网水质等生态问题还存在短板，满足公众生态环境诉求压力面临较大压力。</w:t>
      </w:r>
    </w:p>
    <w:p>
      <w:pPr>
        <w:spacing w:line="384" w:lineRule="auto"/>
        <w:ind w:firstLine="602" w:firstLineChars="200"/>
      </w:pPr>
      <w:r>
        <w:rPr>
          <w:rFonts w:hint="eastAsia"/>
          <w:b/>
        </w:rPr>
        <w:t>治理体系和治理能力建设有待加强。</w:t>
      </w:r>
      <w:r>
        <w:rPr>
          <w:rFonts w:hint="eastAsia"/>
        </w:rPr>
        <w:t>目前江北区生态环境监测监管能力离生态环境治理体系现代化要求仍有一定差距，生态环境监管整体信息化水平有待提升，区域生态环境信息资源共享数据库尚未完善，跨部门协同能力仍需进一步提升。生态环境保护综合行政执法队伍初步建立，执法事项有待细化完善。政府环境保护主体责任仍需加强，生态环境污染问题发现和查办激励机制尚未健全。</w:t>
      </w:r>
    </w:p>
    <w:bookmarkEnd w:id="12"/>
    <w:bookmarkEnd w:id="13"/>
    <w:p>
      <w:pPr>
        <w:pStyle w:val="3"/>
      </w:pPr>
      <w:bookmarkStart w:id="15" w:name="_Toc503535040"/>
      <w:bookmarkStart w:id="16" w:name="_Toc66031093"/>
      <w:bookmarkStart w:id="17" w:name="_Toc495420998"/>
      <w:r>
        <w:t>面临的机遇与挑战</w:t>
      </w:r>
      <w:bookmarkEnd w:id="15"/>
      <w:bookmarkEnd w:id="16"/>
      <w:bookmarkEnd w:id="17"/>
    </w:p>
    <w:p>
      <w:pPr>
        <w:spacing w:line="384" w:lineRule="auto"/>
        <w:ind w:firstLine="600" w:firstLineChars="200"/>
        <w:rPr>
          <w:rFonts w:cs="Times New Roman"/>
          <w:szCs w:val="28"/>
        </w:rPr>
      </w:pPr>
      <w:r>
        <w:rPr>
          <w:rFonts w:hint="eastAsia" w:cs="Times New Roman"/>
          <w:szCs w:val="28"/>
        </w:rPr>
        <w:t>习近平生态文明思想为江北区生态文明建设提供了路线指引和根本遵循，2035年美丽中国基本实现的远景目标为江北持续推动绿色发展，开展生态文明建设探索实践指明了奋斗方向。当好浙江省“重要窗口”模范生实践样板的新目标新定位为生态文明建设锚定新时代奋斗目标，开启现代化建设新征程。</w:t>
      </w:r>
    </w:p>
    <w:p>
      <w:pPr>
        <w:spacing w:line="384" w:lineRule="auto"/>
        <w:ind w:firstLine="600" w:firstLineChars="200"/>
        <w:rPr>
          <w:rFonts w:cs="Times New Roman"/>
          <w:szCs w:val="28"/>
        </w:rPr>
      </w:pPr>
      <w:r>
        <w:rPr>
          <w:rFonts w:hint="eastAsia" w:cs="Times New Roman"/>
          <w:szCs w:val="28"/>
        </w:rPr>
        <w:t>长江经济带发展、长三角一体化、浙江省大湾区大花园大通道大都市区建设、现代化国际化大都市区等重大战略行动，为江北区政策、人才、资金、信息等高端要素的争夺创造了历史机遇。站位全市，当前宁波正处于结构调整、动能升级关键期，将全面拉开都市区建设框架，加快推进“246”万千亿级产业集群及“3433”服务业倍增行动联动发展，江北作为中心城区，融入全市大局，乘势抢抓重大机遇，争取重要功能布局，综合施策推动优势转化，为推进治理体系与治理能力现代化，激发生态文明建设的活力和潜力、创新绿色发展体制机制提供了重要契机。</w:t>
      </w:r>
    </w:p>
    <w:p>
      <w:pPr>
        <w:spacing w:line="384" w:lineRule="auto"/>
        <w:ind w:firstLine="600" w:firstLineChars="200"/>
        <w:rPr>
          <w:rFonts w:cs="Times New Roman"/>
          <w:szCs w:val="28"/>
        </w:rPr>
        <w:sectPr>
          <w:footerReference r:id="rId7" w:type="default"/>
          <w:pgSz w:w="11906" w:h="16838"/>
          <w:pgMar w:top="1440" w:right="1800" w:bottom="1440" w:left="1800" w:header="851" w:footer="992" w:gutter="0"/>
          <w:pgNumType w:start="1"/>
          <w:cols w:space="425" w:num="1"/>
          <w:docGrid w:type="lines" w:linePitch="312" w:charSpace="0"/>
        </w:sectPr>
      </w:pPr>
      <w:r>
        <w:rPr>
          <w:rFonts w:hint="eastAsia" w:cs="Times New Roman"/>
          <w:szCs w:val="28"/>
        </w:rPr>
        <w:t>同时，江北区正处于产业转型技术迭代、城市北拖品质蝶变、区域协同发展叠加的重要阶段，在新的形势下，既要克服国内外复杂形势、迎难而上，又要全力打好生态环境巩固提升持久战，持续改善提升生态环境质量，统筹高质量发展和高水平保护的难度将增大。污染物减排空间缩窄、碳排放2</w:t>
      </w:r>
      <w:r>
        <w:rPr>
          <w:rFonts w:cs="Times New Roman"/>
          <w:szCs w:val="28"/>
        </w:rPr>
        <w:t>030年</w:t>
      </w:r>
      <w:r>
        <w:rPr>
          <w:rFonts w:hint="eastAsia" w:cs="Times New Roman"/>
          <w:szCs w:val="28"/>
        </w:rPr>
        <w:t>达峰、臭氧污染逐渐凸显、地表水环境质量波动、土壤和地下水污染防治处于起步阶段等均面临着较大的压力，污水处理、管网建设等领域基础设施建设运行存在短板，基层监管力量与任务不匹配问题突出，生态环境监管和治理手段的科技化、信息化、智能化水平仍待提高，生态文明建设不断纵深发展，面临一定挑战。</w:t>
      </w:r>
    </w:p>
    <w:p>
      <w:pPr>
        <w:pStyle w:val="2"/>
      </w:pPr>
      <w:bookmarkStart w:id="18" w:name="_Toc503535041"/>
      <w:r>
        <w:t xml:space="preserve"> </w:t>
      </w:r>
      <w:bookmarkStart w:id="19" w:name="_Toc66031094"/>
      <w:r>
        <w:t>规划总则</w:t>
      </w:r>
      <w:bookmarkEnd w:id="9"/>
      <w:bookmarkEnd w:id="18"/>
      <w:bookmarkEnd w:id="19"/>
    </w:p>
    <w:p>
      <w:pPr>
        <w:pStyle w:val="3"/>
        <w:numPr>
          <w:ilvl w:val="0"/>
          <w:numId w:val="4"/>
        </w:numPr>
      </w:pPr>
      <w:bookmarkStart w:id="20" w:name="_Toc495420991"/>
      <w:bookmarkStart w:id="21" w:name="_Toc66031095"/>
      <w:bookmarkStart w:id="22" w:name="_Toc503535042"/>
      <w:r>
        <w:t>指导思想</w:t>
      </w:r>
      <w:bookmarkEnd w:id="20"/>
      <w:bookmarkEnd w:id="21"/>
      <w:bookmarkEnd w:id="22"/>
    </w:p>
    <w:p>
      <w:pPr>
        <w:spacing w:line="384" w:lineRule="auto"/>
        <w:ind w:firstLine="600" w:firstLineChars="200"/>
        <w:rPr>
          <w:rFonts w:cs="Times New Roman"/>
          <w:szCs w:val="28"/>
        </w:rPr>
      </w:pPr>
      <w:r>
        <w:rPr>
          <w:rFonts w:hint="eastAsia" w:cs="Times New Roman"/>
          <w:szCs w:val="28"/>
        </w:rPr>
        <w:t>高举习近平新时代中国特色社会主义思想伟大旗帜，以习近平生态文明思想为指导，全面贯彻落实党的十九大和十九届二中、三中、四中、五中全会精神，深入贯彻习近平总书记系列重要讲话特别是考察浙江重要讲话精神，忠实践行“八八战略”、奋力打造“重要窗口”，切实扛起唱好“双城记”，当好模范生实践样板，以“生态文明建设实现新进步”、“美丽江北建设目标基本实现”为目标，推动绿色发展，促进人与自然和谐共生，以满足人民群众日益增长的优美生态环境需要为出发点，协同推进高质量发展、高水平保护、高品质生活、高效能治理，全面提升“创智之城、和美江北”的显示度和美誉度</w:t>
      </w:r>
      <w:r>
        <w:rPr>
          <w:rFonts w:cs="Times New Roman"/>
          <w:szCs w:val="28"/>
        </w:rPr>
        <w:t>。</w:t>
      </w:r>
    </w:p>
    <w:p>
      <w:pPr>
        <w:pStyle w:val="3"/>
      </w:pPr>
      <w:bookmarkStart w:id="23" w:name="_Toc66031096"/>
      <w:bookmarkStart w:id="24" w:name="_Toc503535043"/>
      <w:bookmarkStart w:id="25" w:name="_Toc495420992"/>
      <w:r>
        <w:rPr>
          <w:rFonts w:hint="eastAsia"/>
        </w:rPr>
        <w:t>规划</w:t>
      </w:r>
      <w:r>
        <w:t>原则</w:t>
      </w:r>
      <w:bookmarkEnd w:id="23"/>
      <w:bookmarkEnd w:id="24"/>
      <w:bookmarkEnd w:id="25"/>
    </w:p>
    <w:p>
      <w:pPr>
        <w:spacing w:line="384" w:lineRule="auto"/>
        <w:ind w:firstLine="602" w:firstLineChars="200"/>
        <w:rPr>
          <w:rFonts w:cs="Times New Roman"/>
          <w:b/>
          <w:szCs w:val="28"/>
        </w:rPr>
      </w:pPr>
      <w:r>
        <w:rPr>
          <w:rFonts w:hint="eastAsia" w:cs="Times New Roman"/>
          <w:b/>
          <w:szCs w:val="28"/>
        </w:rPr>
        <w:t>生态优先，绿色发展。</w:t>
      </w:r>
      <w:r>
        <w:rPr>
          <w:rFonts w:hint="eastAsia" w:cs="Times New Roman"/>
          <w:szCs w:val="28"/>
        </w:rPr>
        <w:t>深入践行“绿水青山就是金山银山”理念，贯彻山水林田湖是生命共同体的思想，精心培育并合理利用优质自然资源和优美生态环境，将生态优势变成发展优势。创新绿色低碳的生产生活方式，擦亮绿色发展底色，不断探索经济发展和生态环境保护相得益彰、协同增效的绿色发展之路。</w:t>
      </w:r>
    </w:p>
    <w:p>
      <w:pPr>
        <w:spacing w:line="384" w:lineRule="auto"/>
        <w:ind w:firstLine="602" w:firstLineChars="200"/>
        <w:rPr>
          <w:rFonts w:cs="Times New Roman"/>
          <w:b/>
          <w:szCs w:val="28"/>
        </w:rPr>
      </w:pPr>
      <w:r>
        <w:rPr>
          <w:rFonts w:hint="eastAsia" w:cs="Times New Roman"/>
          <w:b/>
          <w:szCs w:val="28"/>
        </w:rPr>
        <w:t>量质并举，提质增效。</w:t>
      </w:r>
      <w:r>
        <w:rPr>
          <w:rFonts w:hint="eastAsia" w:cs="Times New Roman"/>
          <w:szCs w:val="28"/>
        </w:rPr>
        <w:t>在扩大总量规模、保持合理增速的同时，更加突出发展的质量、结构、效益、安全相统一，用新技术、新模式巩固提升区域传统优势产业的发展基础。抓住新一轮产业科技革命的窗口期，布局高成长和未来产业，为可持续发展蓄势赋能。</w:t>
      </w:r>
    </w:p>
    <w:p>
      <w:pPr>
        <w:spacing w:line="384" w:lineRule="auto"/>
        <w:ind w:firstLine="602" w:firstLineChars="200"/>
        <w:rPr>
          <w:rFonts w:cs="Times New Roman"/>
          <w:b/>
          <w:szCs w:val="28"/>
        </w:rPr>
      </w:pPr>
      <w:r>
        <w:rPr>
          <w:rFonts w:hint="eastAsia" w:cs="Times New Roman"/>
          <w:b/>
          <w:szCs w:val="28"/>
        </w:rPr>
        <w:t>“三生”融合，统筹协调。</w:t>
      </w:r>
      <w:r>
        <w:rPr>
          <w:rFonts w:hint="eastAsia" w:cs="Times New Roman"/>
          <w:szCs w:val="28"/>
        </w:rPr>
        <w:t>深入挖掘新一轮街道行政区划调整后的潜在红利，在加速推进新型城市化、城乡一体化发展的过程中优化国土空间开发保护格局，统筹谋划生产空间、生活空间、生态空间，围绕实现区域协调、城乡融合、经济社会发展与生态文明建设相适应，巩固优势、补齐短板、挖掘潜力，推动生产发展、生活富裕、生态良好相融共生。</w:t>
      </w:r>
    </w:p>
    <w:p>
      <w:pPr>
        <w:spacing w:line="384" w:lineRule="auto"/>
        <w:ind w:firstLine="602" w:firstLineChars="200"/>
        <w:rPr>
          <w:rFonts w:cs="Times New Roman"/>
          <w:szCs w:val="28"/>
        </w:rPr>
      </w:pPr>
      <w:r>
        <w:rPr>
          <w:rFonts w:hint="eastAsia" w:cs="Times New Roman"/>
          <w:b/>
          <w:szCs w:val="28"/>
        </w:rPr>
        <w:t xml:space="preserve">政府主导，共建共享。 </w:t>
      </w:r>
      <w:r>
        <w:rPr>
          <w:rFonts w:hint="eastAsia" w:cs="Times New Roman"/>
          <w:szCs w:val="28"/>
        </w:rPr>
        <w:t>充分发挥政府组织、引导、协调作用，强化政府主导、部门协作、全民参与机制，突出共建共治共享，充分调动公众积极性、主动性、创造性，形成绿色、低碳、循环的生产、生活和消费模式，营造全民共建共享的生态文明建设氛围。</w:t>
      </w:r>
    </w:p>
    <w:p>
      <w:pPr>
        <w:pStyle w:val="3"/>
      </w:pPr>
      <w:bookmarkStart w:id="26" w:name="_Toc66031097"/>
      <w:r>
        <w:rPr>
          <w:rFonts w:hint="eastAsia"/>
        </w:rPr>
        <w:t>规划范围与期限</w:t>
      </w:r>
      <w:bookmarkEnd w:id="26"/>
    </w:p>
    <w:p>
      <w:pPr>
        <w:rPr>
          <w:b/>
        </w:rPr>
      </w:pPr>
      <w:r>
        <w:rPr>
          <w:rFonts w:hint="eastAsia"/>
          <w:b/>
        </w:rPr>
        <w:t>一、规划范围</w:t>
      </w:r>
    </w:p>
    <w:p>
      <w:pPr>
        <w:ind w:firstLine="600" w:firstLineChars="200"/>
      </w:pPr>
      <w:r>
        <w:rPr>
          <w:rFonts w:hint="eastAsia"/>
        </w:rPr>
        <w:t>本规划范围为江北区行政范围，包括白沙、孔浦、中马、文教、甬江、庄桥、洪塘七个街道和慈城镇，2020年6月经行政区划调整（北区政发〔2020〕23号），合并中马街道和白沙街道，设立外滩街道；调整洪塘街道行政区划，新设前江街道，现下辖外滩、前江、文教、孔浦、甬江、庄桥、洪塘七个街道和慈城镇。</w:t>
      </w:r>
    </w:p>
    <w:p>
      <w:pPr>
        <w:rPr>
          <w:b/>
        </w:rPr>
      </w:pPr>
      <w:r>
        <w:rPr>
          <w:b/>
        </w:rPr>
        <w:t>二</w:t>
      </w:r>
      <w:r>
        <w:rPr>
          <w:rFonts w:hint="eastAsia"/>
          <w:b/>
        </w:rPr>
        <w:t>、</w:t>
      </w:r>
      <w:r>
        <w:rPr>
          <w:b/>
        </w:rPr>
        <w:t>规划期限</w:t>
      </w:r>
    </w:p>
    <w:p>
      <w:r>
        <w:rPr>
          <w:rFonts w:hint="eastAsia"/>
        </w:rPr>
        <w:t xml:space="preserve"> </w:t>
      </w:r>
      <w:r>
        <w:t xml:space="preserve">   </w:t>
      </w:r>
      <w:r>
        <w:rPr>
          <w:rFonts w:hint="eastAsia"/>
        </w:rPr>
        <w:t>本规划基准年2019年，近期至2025年，远期展望至2030年。</w:t>
      </w:r>
    </w:p>
    <w:p>
      <w:pPr>
        <w:spacing w:line="384" w:lineRule="auto"/>
        <w:ind w:firstLine="600" w:firstLineChars="200"/>
        <w:rPr>
          <w:rFonts w:cs="Times New Roman"/>
          <w:szCs w:val="28"/>
        </w:rPr>
        <w:sectPr>
          <w:footerReference r:id="rId8" w:type="default"/>
          <w:pgSz w:w="11906" w:h="16838"/>
          <w:pgMar w:top="1440" w:right="1800" w:bottom="1440" w:left="1800" w:header="851" w:footer="992" w:gutter="0"/>
          <w:cols w:space="425" w:num="1"/>
          <w:docGrid w:type="lines" w:linePitch="312" w:charSpace="0"/>
        </w:sectPr>
      </w:pPr>
    </w:p>
    <w:p>
      <w:pPr>
        <w:pStyle w:val="2"/>
        <w:rPr>
          <w:rFonts w:eastAsia="仿宋_GB2312"/>
        </w:rPr>
      </w:pPr>
      <w:bookmarkStart w:id="27" w:name="_Toc503535044"/>
      <w:bookmarkStart w:id="28" w:name="_Toc495420999"/>
      <w:r>
        <w:rPr>
          <w:rFonts w:eastAsia="仿宋_GB2312"/>
        </w:rPr>
        <w:t xml:space="preserve"> </w:t>
      </w:r>
      <w:bookmarkStart w:id="29" w:name="_Toc66031098"/>
      <w:r>
        <w:t>规划</w:t>
      </w:r>
      <w:r>
        <w:rPr>
          <w:rFonts w:eastAsia="仿宋_GB2312"/>
        </w:rPr>
        <w:t>目标与指标</w:t>
      </w:r>
      <w:bookmarkEnd w:id="27"/>
      <w:bookmarkEnd w:id="28"/>
      <w:bookmarkEnd w:id="29"/>
    </w:p>
    <w:p>
      <w:pPr>
        <w:keepNext/>
        <w:keepLines/>
        <w:numPr>
          <w:ilvl w:val="0"/>
          <w:numId w:val="5"/>
        </w:numPr>
        <w:spacing w:line="384" w:lineRule="auto"/>
        <w:outlineLvl w:val="1"/>
        <w:rPr>
          <w:rFonts w:cs="Times New Roman"/>
          <w:b/>
          <w:bCs/>
          <w:szCs w:val="30"/>
        </w:rPr>
      </w:pPr>
      <w:bookmarkStart w:id="30" w:name="_Toc503535045"/>
      <w:bookmarkStart w:id="31" w:name="_Toc495421000"/>
      <w:bookmarkStart w:id="32" w:name="_Toc66031099"/>
      <w:r>
        <w:rPr>
          <w:rFonts w:cs="Times New Roman"/>
          <w:b/>
          <w:bCs/>
          <w:szCs w:val="30"/>
        </w:rPr>
        <w:t>规划目标</w:t>
      </w:r>
      <w:bookmarkEnd w:id="30"/>
      <w:bookmarkEnd w:id="31"/>
      <w:bookmarkEnd w:id="32"/>
    </w:p>
    <w:p>
      <w:pPr>
        <w:spacing w:line="384" w:lineRule="auto"/>
        <w:ind w:firstLine="562"/>
        <w:rPr>
          <w:rFonts w:cs="Times New Roman"/>
          <w:b/>
          <w:szCs w:val="28"/>
        </w:rPr>
      </w:pPr>
      <w:r>
        <w:rPr>
          <w:rFonts w:cs="Times New Roman"/>
          <w:b/>
          <w:szCs w:val="28"/>
        </w:rPr>
        <w:t>（一）近期目标</w:t>
      </w:r>
    </w:p>
    <w:p>
      <w:pPr>
        <w:spacing w:line="384" w:lineRule="auto"/>
        <w:ind w:firstLine="600" w:firstLineChars="200"/>
        <w:rPr>
          <w:rFonts w:cs="Times New Roman"/>
          <w:szCs w:val="28"/>
        </w:rPr>
      </w:pPr>
      <w:r>
        <w:rPr>
          <w:rFonts w:hint="eastAsia" w:cs="Times New Roman"/>
          <w:szCs w:val="28"/>
        </w:rPr>
        <w:t xml:space="preserve">到2022年，各项指标均达到国家生态文明建设示范区指标考核要求，成功创建国家生态文明建设示范区。到2025年，全面完善“六大体系”建设，生态制度基本健全，生态安全有效保障，生态空间更加优化，生态经济效益凸显，生态生活持续改善，生态文化基本普及，在成功创建国家生态文明建设示范区并不断巩固提升，美丽江北建设初见成效。 </w:t>
      </w:r>
    </w:p>
    <w:p>
      <w:pPr>
        <w:spacing w:line="384" w:lineRule="auto"/>
        <w:ind w:firstLine="602" w:firstLineChars="200"/>
        <w:rPr>
          <w:rFonts w:cs="Times New Roman"/>
          <w:szCs w:val="28"/>
        </w:rPr>
      </w:pPr>
      <w:r>
        <w:rPr>
          <w:rFonts w:hint="eastAsia" w:cs="Times New Roman"/>
          <w:b/>
          <w:szCs w:val="28"/>
        </w:rPr>
        <w:t>生态文明制度基本健全</w:t>
      </w:r>
      <w:r>
        <w:rPr>
          <w:rFonts w:hint="eastAsia" w:cs="Times New Roman"/>
          <w:szCs w:val="28"/>
        </w:rPr>
        <w:t>。以生态文明为导向的国土开发保护制度、资源有偿使用制度、领导干部政绩考核与责任追究制度基本建立，环境监管制度、环境损害赔偿制度、环境治理与生态保护市场体系、生态补偿机制更加完善，河长制、湖长制、固定源排污许可证核发、环境信息公开制度全面落实。</w:t>
      </w:r>
    </w:p>
    <w:p>
      <w:pPr>
        <w:spacing w:line="384" w:lineRule="auto"/>
        <w:ind w:firstLine="602" w:firstLineChars="200"/>
        <w:rPr>
          <w:rFonts w:cs="Times New Roman"/>
          <w:szCs w:val="28"/>
        </w:rPr>
      </w:pPr>
      <w:r>
        <w:rPr>
          <w:rFonts w:hint="eastAsia" w:cs="Times New Roman"/>
          <w:b/>
          <w:szCs w:val="28"/>
        </w:rPr>
        <w:t>生态安全得到有效保障</w:t>
      </w:r>
      <w:r>
        <w:rPr>
          <w:rFonts w:hint="eastAsia" w:cs="Times New Roman"/>
          <w:szCs w:val="28"/>
        </w:rPr>
        <w:t>。生态环境质量明显改善，主要污染物排放得到有效控制，环境承载状况有所缓解，空气优良率达到9</w:t>
      </w:r>
      <w:r>
        <w:rPr>
          <w:rFonts w:cs="Times New Roman"/>
          <w:szCs w:val="28"/>
        </w:rPr>
        <w:t>0</w:t>
      </w:r>
      <w:r>
        <w:rPr>
          <w:rFonts w:hint="eastAsia" w:cs="Times New Roman"/>
          <w:szCs w:val="28"/>
        </w:rPr>
        <w:t>%，市控以上断面</w:t>
      </w:r>
      <w:r>
        <w:rPr>
          <w:rFonts w:cs="Times New Roman"/>
          <w:szCs w:val="28"/>
        </w:rPr>
        <w:t>优良率和功能达标率均达到</w:t>
      </w:r>
      <w:r>
        <w:rPr>
          <w:rFonts w:hint="eastAsia" w:cs="Times New Roman"/>
          <w:szCs w:val="28"/>
        </w:rPr>
        <w:t>1</w:t>
      </w:r>
      <w:r>
        <w:rPr>
          <w:rFonts w:cs="Times New Roman"/>
          <w:szCs w:val="28"/>
        </w:rPr>
        <w:t>00</w:t>
      </w:r>
      <w:r>
        <w:rPr>
          <w:rFonts w:hint="eastAsia" w:cs="Times New Roman"/>
          <w:szCs w:val="28"/>
        </w:rPr>
        <w:t>%，.建设天蓝地绿水清的全要素美丽生态环境；生态系统得到有效保护，生态环境状况指数保持稳中有升，森林覆盖率达到2</w:t>
      </w:r>
      <w:r>
        <w:rPr>
          <w:rFonts w:cs="Times New Roman"/>
          <w:szCs w:val="28"/>
        </w:rPr>
        <w:t>6</w:t>
      </w:r>
      <w:r>
        <w:rPr>
          <w:rFonts w:hint="eastAsia" w:cs="Times New Roman"/>
          <w:szCs w:val="28"/>
        </w:rPr>
        <w:t>.5%，生物多样性有效保护，生态环境风险有效管控，危险废物安全处置保持1</w:t>
      </w:r>
      <w:r>
        <w:rPr>
          <w:rFonts w:cs="Times New Roman"/>
          <w:szCs w:val="28"/>
        </w:rPr>
        <w:t>00</w:t>
      </w:r>
      <w:r>
        <w:rPr>
          <w:rFonts w:hint="eastAsia" w:cs="Times New Roman"/>
          <w:szCs w:val="28"/>
        </w:rPr>
        <w:t>%，土壤污染风险有效控制。</w:t>
      </w:r>
    </w:p>
    <w:p>
      <w:pPr>
        <w:spacing w:line="384" w:lineRule="auto"/>
        <w:ind w:firstLine="602" w:firstLineChars="200"/>
        <w:rPr>
          <w:rFonts w:cs="Times New Roman"/>
          <w:szCs w:val="28"/>
        </w:rPr>
      </w:pPr>
      <w:r>
        <w:rPr>
          <w:rFonts w:hint="eastAsia" w:cs="Times New Roman"/>
          <w:b/>
          <w:szCs w:val="28"/>
        </w:rPr>
        <w:t>生态空间格局更加优化</w:t>
      </w:r>
      <w:r>
        <w:rPr>
          <w:rFonts w:hint="eastAsia" w:cs="Times New Roman"/>
          <w:szCs w:val="28"/>
        </w:rPr>
        <w:t>。构建国土空间开发保护新格局，立足资源环境承载能力，逐步形成城市化地区、农产品主产区、生态功能区三大空间格局，生态保护红线得到严格管护，重点区域建设与环境保护基本协调，产业园区布局得到优化。</w:t>
      </w:r>
    </w:p>
    <w:p>
      <w:pPr>
        <w:spacing w:line="384" w:lineRule="auto"/>
        <w:ind w:firstLine="602" w:firstLineChars="200"/>
        <w:rPr>
          <w:rFonts w:cs="Times New Roman"/>
          <w:szCs w:val="28"/>
        </w:rPr>
      </w:pPr>
      <w:r>
        <w:rPr>
          <w:rFonts w:hint="eastAsia" w:cs="Times New Roman"/>
          <w:b/>
          <w:szCs w:val="28"/>
        </w:rPr>
        <w:t>生态绿色经济效益凸显</w:t>
      </w:r>
      <w:r>
        <w:rPr>
          <w:rFonts w:hint="eastAsia" w:cs="Times New Roman"/>
          <w:szCs w:val="28"/>
        </w:rPr>
        <w:t>。全链条改造传统产业基本完成，绿色低碳循环发展的经济体系基本建立，绿色产业发展、资源利用效率、清洁能源利用水平位进一步提升。工业用能效率和资源集约利用水平明显提升，工业污染物排放显著减少，工业循环经济发展成效突出。</w:t>
      </w:r>
    </w:p>
    <w:p>
      <w:pPr>
        <w:spacing w:line="384" w:lineRule="auto"/>
        <w:ind w:firstLine="602" w:firstLineChars="200"/>
        <w:rPr>
          <w:rFonts w:cs="Times New Roman"/>
          <w:szCs w:val="28"/>
        </w:rPr>
      </w:pPr>
      <w:r>
        <w:rPr>
          <w:rFonts w:hint="eastAsia" w:cs="Times New Roman"/>
          <w:b/>
          <w:szCs w:val="28"/>
        </w:rPr>
        <w:t>生态生活品质持续改善</w:t>
      </w:r>
      <w:r>
        <w:rPr>
          <w:rFonts w:hint="eastAsia" w:cs="Times New Roman"/>
          <w:szCs w:val="28"/>
        </w:rPr>
        <w:t>。广泛推行绿色出行、绿色消费等绿色生活方式，全民生态自觉逐步提升，美丽城市、美丽城镇、美丽乡村有机贯通的美丽江北建设体系基本形成。村镇饮用水卫生合格率、城镇生活垃圾无害化处理率、农村无害化卫生厕所普及率保持1</w:t>
      </w:r>
      <w:r>
        <w:rPr>
          <w:rFonts w:cs="Times New Roman"/>
          <w:szCs w:val="28"/>
        </w:rPr>
        <w:t>00</w:t>
      </w:r>
      <w:r>
        <w:rPr>
          <w:rFonts w:hint="eastAsia" w:cs="Times New Roman"/>
          <w:szCs w:val="28"/>
        </w:rPr>
        <w:t>%，城镇人均公园绿地面积达到1</w:t>
      </w:r>
      <w:r>
        <w:rPr>
          <w:rFonts w:cs="Times New Roman"/>
          <w:szCs w:val="28"/>
        </w:rPr>
        <w:t>3平方米</w:t>
      </w:r>
      <w:r>
        <w:rPr>
          <w:rFonts w:hint="eastAsia" w:cs="Times New Roman"/>
          <w:szCs w:val="28"/>
        </w:rPr>
        <w:t>/人以上。</w:t>
      </w:r>
    </w:p>
    <w:p>
      <w:pPr>
        <w:spacing w:line="384" w:lineRule="auto"/>
        <w:ind w:firstLine="602" w:firstLineChars="200"/>
        <w:rPr>
          <w:rFonts w:cs="Times New Roman"/>
          <w:szCs w:val="28"/>
          <w:highlight w:val="yellow"/>
        </w:rPr>
      </w:pPr>
      <w:r>
        <w:rPr>
          <w:rFonts w:hint="eastAsia" w:cs="Times New Roman"/>
          <w:b/>
          <w:szCs w:val="28"/>
        </w:rPr>
        <w:t>生态文化建设深入开展</w:t>
      </w:r>
      <w:r>
        <w:rPr>
          <w:rFonts w:hint="eastAsia" w:cs="Times New Roman"/>
          <w:szCs w:val="28"/>
        </w:rPr>
        <w:t>。初步实现生态文化知识全覆盖，生态文明理念全普及，公众对生态文明知识参与度和生态文明建设的满意度均达到持续上升，党政领导干部参与生态文明培训的人数比例达到100%，公众的生态文明素养明显提高。</w:t>
      </w:r>
    </w:p>
    <w:p>
      <w:pPr>
        <w:spacing w:line="384" w:lineRule="auto"/>
        <w:ind w:firstLine="562"/>
        <w:rPr>
          <w:rFonts w:cs="Times New Roman"/>
          <w:b/>
          <w:szCs w:val="28"/>
        </w:rPr>
      </w:pPr>
      <w:r>
        <w:rPr>
          <w:rFonts w:cs="Times New Roman"/>
          <w:b/>
          <w:szCs w:val="28"/>
        </w:rPr>
        <w:t>（二）远期目标</w:t>
      </w:r>
    </w:p>
    <w:p>
      <w:pPr>
        <w:spacing w:line="384" w:lineRule="auto"/>
        <w:ind w:firstLine="600" w:firstLineChars="200"/>
        <w:rPr>
          <w:rFonts w:cs="Times New Roman"/>
          <w:szCs w:val="28"/>
        </w:rPr>
      </w:pPr>
      <w:r>
        <w:rPr>
          <w:rFonts w:hint="eastAsia" w:cs="Times New Roman"/>
          <w:szCs w:val="28"/>
        </w:rPr>
        <w:t>生态环境空间布局进一步得到优化，与生态文明高度发达相适应的绿色发展空间格局、产业结构、生产方式和生活方式全面形成，生态环境保护治理体系和治理能力全面提升，全区生态环境面貌实现根本好转，美丽江北建设目标基本实现。</w:t>
      </w:r>
    </w:p>
    <w:p>
      <w:pPr>
        <w:keepNext/>
        <w:keepLines/>
        <w:numPr>
          <w:ilvl w:val="0"/>
          <w:numId w:val="5"/>
        </w:numPr>
        <w:spacing w:line="384" w:lineRule="auto"/>
        <w:outlineLvl w:val="1"/>
        <w:rPr>
          <w:rFonts w:cs="Times New Roman"/>
          <w:b/>
          <w:bCs/>
          <w:szCs w:val="30"/>
        </w:rPr>
      </w:pPr>
      <w:bookmarkStart w:id="33" w:name="_Toc503535046"/>
      <w:bookmarkStart w:id="34" w:name="_Toc495421001"/>
      <w:bookmarkStart w:id="35" w:name="_Toc66031100"/>
      <w:r>
        <w:rPr>
          <w:rFonts w:hint="eastAsia" w:cs="Times New Roman"/>
          <w:b/>
          <w:bCs/>
          <w:szCs w:val="30"/>
        </w:rPr>
        <w:t>建设</w:t>
      </w:r>
      <w:r>
        <w:rPr>
          <w:rFonts w:cs="Times New Roman"/>
          <w:b/>
          <w:bCs/>
          <w:szCs w:val="30"/>
        </w:rPr>
        <w:t>指标</w:t>
      </w:r>
      <w:bookmarkEnd w:id="33"/>
      <w:bookmarkEnd w:id="34"/>
      <w:bookmarkEnd w:id="35"/>
    </w:p>
    <w:p>
      <w:pPr>
        <w:spacing w:line="384" w:lineRule="auto"/>
        <w:ind w:firstLine="600" w:firstLineChars="200"/>
        <w:rPr>
          <w:rFonts w:cs="Times New Roman"/>
          <w:szCs w:val="28"/>
        </w:rPr>
        <w:sectPr>
          <w:pgSz w:w="11906" w:h="16838"/>
          <w:pgMar w:top="1440" w:right="1800" w:bottom="1440" w:left="1800" w:header="851" w:footer="992" w:gutter="0"/>
          <w:cols w:space="425" w:num="1"/>
          <w:docGrid w:type="lines" w:linePitch="312" w:charSpace="0"/>
        </w:sectPr>
      </w:pPr>
      <w:r>
        <w:rPr>
          <w:rFonts w:cs="Times New Roman"/>
          <w:szCs w:val="28"/>
        </w:rPr>
        <w:t>围绕</w:t>
      </w:r>
      <w:r>
        <w:rPr>
          <w:rFonts w:hint="eastAsia" w:cs="Times New Roman"/>
          <w:szCs w:val="28"/>
        </w:rPr>
        <w:t>目标</w:t>
      </w:r>
      <w:r>
        <w:rPr>
          <w:rFonts w:cs="Times New Roman"/>
          <w:szCs w:val="28"/>
        </w:rPr>
        <w:t>责任体系与制度建设、</w:t>
      </w:r>
      <w:r>
        <w:rPr>
          <w:rFonts w:hint="eastAsia" w:cs="Times New Roman"/>
          <w:szCs w:val="28"/>
        </w:rPr>
        <w:t>生态环境质量改善</w:t>
      </w:r>
      <w:r>
        <w:rPr>
          <w:rFonts w:cs="Times New Roman"/>
          <w:szCs w:val="28"/>
        </w:rPr>
        <w:t>、生态系统保护、生态环境风险防范、空间格局优化、资源节约与利用、产业循环发展、人居环境改善、生活方式绿色化和观念意识普及等重点任务，以促进形成绿色发展方式和绿色生活方式、改善生态环境质量为导向，从生态制度、生态</w:t>
      </w:r>
      <w:r>
        <w:rPr>
          <w:rFonts w:hint="eastAsia" w:cs="Times New Roman"/>
          <w:szCs w:val="28"/>
        </w:rPr>
        <w:t>安全</w:t>
      </w:r>
      <w:r>
        <w:rPr>
          <w:rFonts w:cs="Times New Roman"/>
          <w:szCs w:val="28"/>
        </w:rPr>
        <w:t>、生态空间、生态经济、生态生活和生态文化六个方面，结合江北区实际情况设置</w:t>
      </w:r>
      <w:r>
        <w:rPr>
          <w:rFonts w:hint="eastAsia" w:cs="Times New Roman"/>
          <w:szCs w:val="28"/>
        </w:rPr>
        <w:t>建设</w:t>
      </w:r>
      <w:r>
        <w:rPr>
          <w:rFonts w:cs="Times New Roman"/>
          <w:szCs w:val="28"/>
        </w:rPr>
        <w:t>指标</w:t>
      </w:r>
      <w:r>
        <w:rPr>
          <w:rFonts w:hint="eastAsia" w:cs="Times New Roman"/>
          <w:szCs w:val="28"/>
        </w:rPr>
        <w:t>，</w:t>
      </w:r>
      <w:r>
        <w:rPr>
          <w:rFonts w:cs="Times New Roman"/>
          <w:szCs w:val="28"/>
        </w:rPr>
        <w:t>国家指标32</w:t>
      </w:r>
      <w:r>
        <w:rPr>
          <w:rFonts w:hint="eastAsia" w:cs="Times New Roman"/>
          <w:szCs w:val="28"/>
        </w:rPr>
        <w:t>项，省级指标</w:t>
      </w:r>
      <w:r>
        <w:rPr>
          <w:rFonts w:cs="Times New Roman"/>
          <w:szCs w:val="28"/>
        </w:rPr>
        <w:t>42</w:t>
      </w:r>
      <w:r>
        <w:rPr>
          <w:rFonts w:hint="eastAsia" w:cs="Times New Roman"/>
          <w:szCs w:val="28"/>
        </w:rPr>
        <w:t>项</w:t>
      </w:r>
      <w:r>
        <w:rPr>
          <w:rFonts w:cs="Times New Roman"/>
          <w:szCs w:val="28"/>
        </w:rPr>
        <w:t>。</w:t>
      </w:r>
    </w:p>
    <w:p>
      <w:pPr>
        <w:keepNext/>
        <w:ind w:firstLine="562"/>
        <w:jc w:val="center"/>
        <w:rPr>
          <w:rFonts w:cs="Times New Roman"/>
          <w:b/>
          <w:szCs w:val="28"/>
        </w:rPr>
      </w:pPr>
      <w:r>
        <w:rPr>
          <w:rFonts w:cs="Times New Roman"/>
          <w:b/>
          <w:szCs w:val="28"/>
        </w:rPr>
        <w:t xml:space="preserve">表 </w:t>
      </w:r>
      <w:r>
        <w:rPr>
          <w:rFonts w:hint="eastAsia" w:cs="Times New Roman"/>
          <w:b/>
          <w:szCs w:val="28"/>
        </w:rPr>
        <w:t>一 国家生态文明建设示范区指标体系</w:t>
      </w:r>
    </w:p>
    <w:tbl>
      <w:tblPr>
        <w:tblStyle w:val="2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79"/>
        <w:gridCol w:w="709"/>
        <w:gridCol w:w="425"/>
        <w:gridCol w:w="2693"/>
        <w:gridCol w:w="558"/>
        <w:gridCol w:w="1710"/>
        <w:gridCol w:w="772"/>
        <w:gridCol w:w="2174"/>
        <w:gridCol w:w="2513"/>
        <w:gridCol w:w="21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tblHeader/>
          <w:jc w:val="center"/>
        </w:trPr>
        <w:tc>
          <w:tcPr>
            <w:tcW w:w="279" w:type="dxa"/>
            <w:tcBorders>
              <w:top w:val="single" w:color="auto" w:sz="8" w:space="0"/>
              <w:left w:val="single" w:color="auto" w:sz="4" w:space="0"/>
              <w:bottom w:val="single" w:color="auto" w:sz="4" w:space="0"/>
              <w:right w:val="single" w:color="auto" w:sz="4" w:space="0"/>
            </w:tcBorders>
            <w:vAlign w:val="center"/>
          </w:tcPr>
          <w:p>
            <w:pPr>
              <w:pStyle w:val="54"/>
            </w:pPr>
            <w:r>
              <w:rPr>
                <w:rFonts w:hint="eastAsia"/>
              </w:rPr>
              <w:t>领域</w:t>
            </w:r>
          </w:p>
        </w:tc>
        <w:tc>
          <w:tcPr>
            <w:tcW w:w="709" w:type="dxa"/>
            <w:tcBorders>
              <w:top w:val="single" w:color="auto" w:sz="8" w:space="0"/>
              <w:left w:val="single" w:color="auto" w:sz="4" w:space="0"/>
              <w:bottom w:val="single" w:color="auto" w:sz="4" w:space="0"/>
              <w:right w:val="single" w:color="auto" w:sz="4" w:space="0"/>
            </w:tcBorders>
            <w:vAlign w:val="center"/>
          </w:tcPr>
          <w:p>
            <w:pPr>
              <w:pStyle w:val="54"/>
            </w:pPr>
            <w:r>
              <w:rPr>
                <w:rFonts w:hint="eastAsia"/>
              </w:rPr>
              <w:t>任务</w:t>
            </w:r>
          </w:p>
        </w:tc>
        <w:tc>
          <w:tcPr>
            <w:tcW w:w="425" w:type="dxa"/>
            <w:tcBorders>
              <w:top w:val="single" w:color="auto" w:sz="8" w:space="0"/>
              <w:left w:val="single" w:color="auto" w:sz="4" w:space="0"/>
              <w:bottom w:val="single" w:color="auto" w:sz="4" w:space="0"/>
              <w:right w:val="single" w:color="auto" w:sz="4" w:space="0"/>
            </w:tcBorders>
            <w:vAlign w:val="center"/>
          </w:tcPr>
          <w:p>
            <w:pPr>
              <w:pStyle w:val="54"/>
            </w:pPr>
            <w:r>
              <w:rPr>
                <w:rFonts w:hint="eastAsia"/>
              </w:rPr>
              <w:t>序号</w:t>
            </w:r>
          </w:p>
        </w:tc>
        <w:tc>
          <w:tcPr>
            <w:tcW w:w="2693" w:type="dxa"/>
            <w:tcBorders>
              <w:top w:val="single" w:color="auto" w:sz="8" w:space="0"/>
              <w:left w:val="single" w:color="auto" w:sz="4" w:space="0"/>
              <w:bottom w:val="single" w:color="auto" w:sz="4" w:space="0"/>
              <w:right w:val="single" w:color="auto" w:sz="4" w:space="0"/>
            </w:tcBorders>
            <w:vAlign w:val="center"/>
          </w:tcPr>
          <w:p>
            <w:pPr>
              <w:pStyle w:val="54"/>
            </w:pPr>
            <w:r>
              <w:rPr>
                <w:rFonts w:hint="eastAsia"/>
              </w:rPr>
              <w:t>指标名称</w:t>
            </w:r>
          </w:p>
        </w:tc>
        <w:tc>
          <w:tcPr>
            <w:tcW w:w="558" w:type="dxa"/>
            <w:tcBorders>
              <w:top w:val="single" w:color="auto" w:sz="8" w:space="0"/>
              <w:left w:val="single" w:color="auto" w:sz="4" w:space="0"/>
              <w:bottom w:val="single" w:color="auto" w:sz="4" w:space="0"/>
              <w:right w:val="single" w:color="auto" w:sz="4" w:space="0"/>
            </w:tcBorders>
            <w:vAlign w:val="center"/>
          </w:tcPr>
          <w:p>
            <w:pPr>
              <w:pStyle w:val="54"/>
            </w:pPr>
            <w:r>
              <w:rPr>
                <w:rFonts w:hint="eastAsia"/>
              </w:rPr>
              <w:t>单位</w:t>
            </w:r>
          </w:p>
        </w:tc>
        <w:tc>
          <w:tcPr>
            <w:tcW w:w="1710" w:type="dxa"/>
            <w:tcBorders>
              <w:top w:val="single" w:color="auto" w:sz="8" w:space="0"/>
              <w:left w:val="single" w:color="auto" w:sz="4" w:space="0"/>
              <w:bottom w:val="single" w:color="auto" w:sz="4" w:space="0"/>
              <w:right w:val="single" w:color="auto" w:sz="4" w:space="0"/>
            </w:tcBorders>
            <w:vAlign w:val="center"/>
          </w:tcPr>
          <w:p>
            <w:pPr>
              <w:pStyle w:val="54"/>
            </w:pPr>
            <w:r>
              <w:rPr>
                <w:rFonts w:hint="eastAsia"/>
              </w:rPr>
              <w:t>指标值</w:t>
            </w:r>
          </w:p>
        </w:tc>
        <w:tc>
          <w:tcPr>
            <w:tcW w:w="772" w:type="dxa"/>
            <w:tcBorders>
              <w:top w:val="single" w:color="auto" w:sz="8" w:space="0"/>
              <w:left w:val="single" w:color="auto" w:sz="4" w:space="0"/>
              <w:bottom w:val="single" w:color="auto" w:sz="4" w:space="0"/>
              <w:right w:val="single" w:color="auto" w:sz="4" w:space="0"/>
            </w:tcBorders>
            <w:vAlign w:val="center"/>
          </w:tcPr>
          <w:p>
            <w:pPr>
              <w:pStyle w:val="54"/>
            </w:pPr>
            <w:r>
              <w:rPr>
                <w:rFonts w:hint="eastAsia"/>
              </w:rPr>
              <w:t>指标属性</w:t>
            </w:r>
          </w:p>
        </w:tc>
        <w:tc>
          <w:tcPr>
            <w:tcW w:w="0" w:type="auto"/>
            <w:tcBorders>
              <w:top w:val="single" w:color="auto" w:sz="8" w:space="0"/>
              <w:left w:val="single" w:color="auto" w:sz="4" w:space="0"/>
              <w:bottom w:val="single" w:color="auto" w:sz="4" w:space="0"/>
              <w:right w:val="single" w:color="auto" w:sz="8" w:space="0"/>
            </w:tcBorders>
            <w:vAlign w:val="center"/>
          </w:tcPr>
          <w:p>
            <w:pPr>
              <w:pStyle w:val="54"/>
              <w:jc w:val="center"/>
            </w:pPr>
            <w:r>
              <w:rPr>
                <w:rFonts w:hint="eastAsia"/>
              </w:rPr>
              <w:t>现状值</w:t>
            </w:r>
          </w:p>
          <w:p>
            <w:pPr>
              <w:pStyle w:val="54"/>
              <w:jc w:val="center"/>
            </w:pPr>
            <w:r>
              <w:rPr>
                <w:rFonts w:hint="eastAsia"/>
              </w:rPr>
              <w:t>（2</w:t>
            </w:r>
            <w:r>
              <w:t>019年</w:t>
            </w:r>
            <w:r>
              <w:rPr>
                <w:rFonts w:hint="eastAsia"/>
              </w:rPr>
              <w:t>）</w:t>
            </w:r>
          </w:p>
        </w:tc>
        <w:tc>
          <w:tcPr>
            <w:tcW w:w="0" w:type="auto"/>
            <w:tcBorders>
              <w:top w:val="single" w:color="auto" w:sz="8" w:space="0"/>
              <w:left w:val="single" w:color="auto" w:sz="4" w:space="0"/>
              <w:bottom w:val="single" w:color="auto" w:sz="4" w:space="0"/>
              <w:right w:val="single" w:color="auto" w:sz="8" w:space="0"/>
            </w:tcBorders>
            <w:vAlign w:val="center"/>
          </w:tcPr>
          <w:p>
            <w:pPr>
              <w:pStyle w:val="54"/>
              <w:jc w:val="center"/>
            </w:pPr>
            <w:r>
              <w:t>近期目标</w:t>
            </w:r>
          </w:p>
          <w:p>
            <w:pPr>
              <w:pStyle w:val="54"/>
              <w:jc w:val="center"/>
            </w:pPr>
            <w:r>
              <w:rPr>
                <w:rFonts w:hint="eastAsia"/>
              </w:rPr>
              <w:t>（2</w:t>
            </w:r>
            <w:r>
              <w:t>025</w:t>
            </w:r>
            <w:r>
              <w:rPr>
                <w:rFonts w:hint="eastAsia"/>
              </w:rPr>
              <w:t>）</w:t>
            </w:r>
          </w:p>
        </w:tc>
        <w:tc>
          <w:tcPr>
            <w:tcW w:w="0" w:type="auto"/>
            <w:tcBorders>
              <w:top w:val="single" w:color="auto" w:sz="8" w:space="0"/>
              <w:left w:val="single" w:color="auto" w:sz="4" w:space="0"/>
              <w:bottom w:val="single" w:color="auto" w:sz="4" w:space="0"/>
              <w:right w:val="single" w:color="auto" w:sz="8" w:space="0"/>
            </w:tcBorders>
            <w:vAlign w:val="center"/>
          </w:tcPr>
          <w:p>
            <w:pPr>
              <w:pStyle w:val="54"/>
              <w:jc w:val="center"/>
            </w:pPr>
            <w:r>
              <w:rPr>
                <w:rFonts w:hint="eastAsia"/>
              </w:rPr>
              <w:t>远期目标</w:t>
            </w:r>
          </w:p>
          <w:p>
            <w:pPr>
              <w:pStyle w:val="54"/>
              <w:jc w:val="center"/>
            </w:pPr>
            <w:r>
              <w:t>(2030)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79" w:type="dxa"/>
            <w:vMerge w:val="restart"/>
            <w:tcBorders>
              <w:top w:val="single" w:color="auto" w:sz="4" w:space="0"/>
              <w:left w:val="single" w:color="auto" w:sz="4" w:space="0"/>
              <w:right w:val="single" w:color="auto" w:sz="4" w:space="0"/>
            </w:tcBorders>
            <w:vAlign w:val="center"/>
          </w:tcPr>
          <w:p>
            <w:pPr>
              <w:pStyle w:val="54"/>
            </w:pPr>
            <w:r>
              <w:rPr>
                <w:rFonts w:hint="eastAsia"/>
              </w:rPr>
              <w:t>生态制度</w:t>
            </w:r>
          </w:p>
        </w:tc>
        <w:tc>
          <w:tcPr>
            <w:tcW w:w="709" w:type="dxa"/>
            <w:vMerge w:val="restart"/>
            <w:tcBorders>
              <w:top w:val="single" w:color="auto" w:sz="4" w:space="0"/>
              <w:left w:val="single" w:color="auto" w:sz="4" w:space="0"/>
              <w:right w:val="single" w:color="auto" w:sz="4" w:space="0"/>
            </w:tcBorders>
            <w:vAlign w:val="center"/>
          </w:tcPr>
          <w:p>
            <w:pPr>
              <w:pStyle w:val="54"/>
            </w:pPr>
            <w:r>
              <w:rPr>
                <w:rFonts w:hint="eastAsia"/>
              </w:rPr>
              <w:t>（一）目标责任体系与制度建设</w:t>
            </w:r>
          </w:p>
        </w:tc>
        <w:tc>
          <w:tcPr>
            <w:tcW w:w="425"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1</w:t>
            </w:r>
          </w:p>
        </w:tc>
        <w:tc>
          <w:tcPr>
            <w:tcW w:w="2693"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生态文明建设规划</w:t>
            </w:r>
          </w:p>
        </w:tc>
        <w:tc>
          <w:tcPr>
            <w:tcW w:w="558"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w:t>
            </w:r>
          </w:p>
        </w:tc>
        <w:tc>
          <w:tcPr>
            <w:tcW w:w="1710"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制定实施</w:t>
            </w:r>
          </w:p>
        </w:tc>
        <w:tc>
          <w:tcPr>
            <w:tcW w:w="772"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约束性</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制定实施</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制定实施</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制定实施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79" w:type="dxa"/>
            <w:vMerge w:val="continue"/>
            <w:tcBorders>
              <w:left w:val="single" w:color="auto" w:sz="4" w:space="0"/>
              <w:right w:val="single" w:color="auto" w:sz="4" w:space="0"/>
            </w:tcBorders>
            <w:vAlign w:val="center"/>
          </w:tcPr>
          <w:p>
            <w:pPr>
              <w:pStyle w:val="54"/>
            </w:pPr>
          </w:p>
        </w:tc>
        <w:tc>
          <w:tcPr>
            <w:tcW w:w="709" w:type="dxa"/>
            <w:vMerge w:val="continue"/>
            <w:tcBorders>
              <w:left w:val="single" w:color="auto" w:sz="4" w:space="0"/>
              <w:right w:val="single" w:color="auto" w:sz="4" w:space="0"/>
            </w:tcBorders>
            <w:vAlign w:val="center"/>
          </w:tcPr>
          <w:p>
            <w:pPr>
              <w:pStyle w:val="54"/>
            </w:pPr>
          </w:p>
        </w:tc>
        <w:tc>
          <w:tcPr>
            <w:tcW w:w="425"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2</w:t>
            </w:r>
          </w:p>
        </w:tc>
        <w:tc>
          <w:tcPr>
            <w:tcW w:w="2693"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党委政府对生态文明建设重大目标任务部署情况</w:t>
            </w:r>
          </w:p>
        </w:tc>
        <w:tc>
          <w:tcPr>
            <w:tcW w:w="558"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w:t>
            </w:r>
          </w:p>
        </w:tc>
        <w:tc>
          <w:tcPr>
            <w:tcW w:w="1710"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有效开展</w:t>
            </w:r>
          </w:p>
        </w:tc>
        <w:tc>
          <w:tcPr>
            <w:tcW w:w="772"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约束性</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有效开展</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有效开展</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有效开展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79" w:type="dxa"/>
            <w:vMerge w:val="continue"/>
            <w:tcBorders>
              <w:left w:val="single" w:color="auto" w:sz="4" w:space="0"/>
              <w:right w:val="single" w:color="auto" w:sz="4" w:space="0"/>
            </w:tcBorders>
            <w:vAlign w:val="center"/>
          </w:tcPr>
          <w:p>
            <w:pPr>
              <w:pStyle w:val="54"/>
            </w:pPr>
          </w:p>
        </w:tc>
        <w:tc>
          <w:tcPr>
            <w:tcW w:w="709" w:type="dxa"/>
            <w:vMerge w:val="continue"/>
            <w:tcBorders>
              <w:left w:val="single" w:color="auto" w:sz="4" w:space="0"/>
              <w:right w:val="single" w:color="auto" w:sz="4" w:space="0"/>
            </w:tcBorders>
            <w:vAlign w:val="center"/>
          </w:tcPr>
          <w:p>
            <w:pPr>
              <w:pStyle w:val="54"/>
            </w:pPr>
          </w:p>
        </w:tc>
        <w:tc>
          <w:tcPr>
            <w:tcW w:w="425"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3</w:t>
            </w:r>
          </w:p>
        </w:tc>
        <w:tc>
          <w:tcPr>
            <w:tcW w:w="2693"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生态文明建设工作占党政实绩考核的比例</w:t>
            </w:r>
          </w:p>
        </w:tc>
        <w:tc>
          <w:tcPr>
            <w:tcW w:w="558"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w:t>
            </w:r>
          </w:p>
        </w:tc>
        <w:tc>
          <w:tcPr>
            <w:tcW w:w="1710"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≥20</w:t>
            </w:r>
          </w:p>
        </w:tc>
        <w:tc>
          <w:tcPr>
            <w:tcW w:w="772"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约束性</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城区街道</w:t>
            </w:r>
            <w:r>
              <w:t xml:space="preserve"> 26.6</w:t>
            </w:r>
          </w:p>
          <w:p>
            <w:pPr>
              <w:pStyle w:val="54"/>
              <w:jc w:val="center"/>
            </w:pPr>
            <w:r>
              <w:rPr>
                <w:rFonts w:hint="eastAsia"/>
              </w:rPr>
              <w:t>涉农街道（镇）</w:t>
            </w:r>
            <w:r>
              <w:t>31.6</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持续提高</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持续提高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79" w:type="dxa"/>
            <w:vMerge w:val="continue"/>
            <w:tcBorders>
              <w:left w:val="single" w:color="auto" w:sz="4" w:space="0"/>
              <w:right w:val="single" w:color="auto" w:sz="4" w:space="0"/>
            </w:tcBorders>
            <w:vAlign w:val="center"/>
          </w:tcPr>
          <w:p>
            <w:pPr>
              <w:pStyle w:val="54"/>
            </w:pPr>
          </w:p>
        </w:tc>
        <w:tc>
          <w:tcPr>
            <w:tcW w:w="709" w:type="dxa"/>
            <w:vMerge w:val="continue"/>
            <w:tcBorders>
              <w:left w:val="single" w:color="auto" w:sz="4" w:space="0"/>
              <w:right w:val="single" w:color="auto" w:sz="4" w:space="0"/>
            </w:tcBorders>
            <w:vAlign w:val="center"/>
          </w:tcPr>
          <w:p>
            <w:pPr>
              <w:pStyle w:val="54"/>
            </w:pPr>
          </w:p>
        </w:tc>
        <w:tc>
          <w:tcPr>
            <w:tcW w:w="425"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4</w:t>
            </w:r>
          </w:p>
        </w:tc>
        <w:tc>
          <w:tcPr>
            <w:tcW w:w="2693"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河长制</w:t>
            </w:r>
          </w:p>
        </w:tc>
        <w:tc>
          <w:tcPr>
            <w:tcW w:w="558"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w:t>
            </w:r>
          </w:p>
        </w:tc>
        <w:tc>
          <w:tcPr>
            <w:tcW w:w="1710"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全面实施</w:t>
            </w:r>
          </w:p>
        </w:tc>
        <w:tc>
          <w:tcPr>
            <w:tcW w:w="772"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约束性</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全面实施</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全面实施</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全面实施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79" w:type="dxa"/>
            <w:vMerge w:val="continue"/>
            <w:tcBorders>
              <w:left w:val="single" w:color="auto" w:sz="4" w:space="0"/>
              <w:right w:val="single" w:color="auto" w:sz="4" w:space="0"/>
            </w:tcBorders>
            <w:vAlign w:val="center"/>
          </w:tcPr>
          <w:p>
            <w:pPr>
              <w:pStyle w:val="54"/>
            </w:pPr>
          </w:p>
        </w:tc>
        <w:tc>
          <w:tcPr>
            <w:tcW w:w="709" w:type="dxa"/>
            <w:vMerge w:val="continue"/>
            <w:tcBorders>
              <w:left w:val="single" w:color="auto" w:sz="4" w:space="0"/>
              <w:right w:val="single" w:color="auto" w:sz="4" w:space="0"/>
            </w:tcBorders>
            <w:vAlign w:val="center"/>
          </w:tcPr>
          <w:p>
            <w:pPr>
              <w:pStyle w:val="54"/>
            </w:pPr>
          </w:p>
        </w:tc>
        <w:tc>
          <w:tcPr>
            <w:tcW w:w="425"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5</w:t>
            </w:r>
          </w:p>
        </w:tc>
        <w:tc>
          <w:tcPr>
            <w:tcW w:w="2693"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生态环境信息公开率</w:t>
            </w:r>
          </w:p>
        </w:tc>
        <w:tc>
          <w:tcPr>
            <w:tcW w:w="558"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w:t>
            </w:r>
          </w:p>
        </w:tc>
        <w:tc>
          <w:tcPr>
            <w:tcW w:w="1710"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100</w:t>
            </w:r>
          </w:p>
        </w:tc>
        <w:tc>
          <w:tcPr>
            <w:tcW w:w="772"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约束性</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100</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100</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79" w:type="dxa"/>
            <w:vMerge w:val="continue"/>
            <w:tcBorders>
              <w:left w:val="single" w:color="auto" w:sz="4" w:space="0"/>
              <w:bottom w:val="single" w:color="auto" w:sz="4" w:space="0"/>
              <w:right w:val="single" w:color="auto" w:sz="4" w:space="0"/>
            </w:tcBorders>
            <w:vAlign w:val="center"/>
          </w:tcPr>
          <w:p>
            <w:pPr>
              <w:pStyle w:val="54"/>
            </w:pPr>
          </w:p>
        </w:tc>
        <w:tc>
          <w:tcPr>
            <w:tcW w:w="709" w:type="dxa"/>
            <w:vMerge w:val="continue"/>
            <w:tcBorders>
              <w:left w:val="single" w:color="auto" w:sz="4" w:space="0"/>
              <w:bottom w:val="single" w:color="auto" w:sz="4" w:space="0"/>
              <w:right w:val="single" w:color="auto" w:sz="4" w:space="0"/>
            </w:tcBorders>
            <w:vAlign w:val="center"/>
          </w:tcPr>
          <w:p>
            <w:pPr>
              <w:pStyle w:val="54"/>
            </w:pPr>
          </w:p>
        </w:tc>
        <w:tc>
          <w:tcPr>
            <w:tcW w:w="425"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6</w:t>
            </w:r>
          </w:p>
        </w:tc>
        <w:tc>
          <w:tcPr>
            <w:tcW w:w="2693"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依法开展规划环境影响评价</w:t>
            </w:r>
          </w:p>
        </w:tc>
        <w:tc>
          <w:tcPr>
            <w:tcW w:w="558"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w:t>
            </w:r>
          </w:p>
        </w:tc>
        <w:tc>
          <w:tcPr>
            <w:tcW w:w="1710"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开展</w:t>
            </w:r>
          </w:p>
        </w:tc>
        <w:tc>
          <w:tcPr>
            <w:tcW w:w="772"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参考性</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100%</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100%</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008" w:hRule="atLeast"/>
          <w:jc w:val="center"/>
        </w:trPr>
        <w:tc>
          <w:tcPr>
            <w:tcW w:w="279" w:type="dxa"/>
            <w:vMerge w:val="restart"/>
            <w:tcBorders>
              <w:top w:val="single" w:color="auto" w:sz="4" w:space="0"/>
              <w:left w:val="single" w:color="auto" w:sz="4" w:space="0"/>
              <w:right w:val="single" w:color="auto" w:sz="4" w:space="0"/>
            </w:tcBorders>
            <w:vAlign w:val="center"/>
          </w:tcPr>
          <w:p>
            <w:pPr>
              <w:pStyle w:val="54"/>
            </w:pPr>
            <w:r>
              <w:rPr>
                <w:rFonts w:hint="eastAsia"/>
              </w:rPr>
              <w:t>生态安全</w:t>
            </w:r>
          </w:p>
        </w:tc>
        <w:tc>
          <w:tcPr>
            <w:tcW w:w="709" w:type="dxa"/>
            <w:vMerge w:val="restart"/>
            <w:tcBorders>
              <w:top w:val="single" w:color="auto" w:sz="4" w:space="0"/>
              <w:left w:val="single" w:color="auto" w:sz="4" w:space="0"/>
              <w:right w:val="single" w:color="auto" w:sz="4" w:space="0"/>
            </w:tcBorders>
            <w:vAlign w:val="center"/>
          </w:tcPr>
          <w:p>
            <w:pPr>
              <w:pStyle w:val="54"/>
            </w:pPr>
            <w:r>
              <w:rPr>
                <w:rFonts w:hint="eastAsia"/>
              </w:rPr>
              <w:t>（二）生态环境质量改善</w:t>
            </w:r>
          </w:p>
        </w:tc>
        <w:tc>
          <w:tcPr>
            <w:tcW w:w="425"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7</w:t>
            </w:r>
          </w:p>
        </w:tc>
        <w:tc>
          <w:tcPr>
            <w:tcW w:w="2693"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环境空气质量</w:t>
            </w:r>
          </w:p>
          <w:p>
            <w:pPr>
              <w:pStyle w:val="54"/>
            </w:pPr>
            <w:r>
              <w:rPr>
                <w:rFonts w:hint="eastAsia"/>
              </w:rPr>
              <w:fldChar w:fldCharType="begin"/>
            </w:r>
            <w:r>
              <w:rPr>
                <w:rFonts w:hint="eastAsia"/>
              </w:rPr>
              <w:instrText xml:space="preserve"> = 1 \* GB3 </w:instrText>
            </w:r>
            <w:r>
              <w:rPr>
                <w:rFonts w:hint="eastAsia"/>
              </w:rPr>
              <w:fldChar w:fldCharType="separate"/>
            </w:r>
            <w:r>
              <w:rPr>
                <w:rFonts w:hint="eastAsia"/>
              </w:rPr>
              <w:t>①</w:t>
            </w:r>
            <w:r>
              <w:rPr>
                <w:rFonts w:hint="eastAsia"/>
              </w:rPr>
              <w:fldChar w:fldCharType="end"/>
            </w:r>
            <w:r>
              <w:rPr>
                <w:rFonts w:hint="eastAsia"/>
              </w:rPr>
              <w:t>优良天数比例</w:t>
            </w:r>
          </w:p>
          <w:p>
            <w:pPr>
              <w:pStyle w:val="54"/>
            </w:pPr>
            <w:r>
              <w:rPr>
                <w:rFonts w:hint="eastAsia"/>
              </w:rPr>
              <w:t>②PM2.5浓度下降幅度</w:t>
            </w:r>
          </w:p>
        </w:tc>
        <w:tc>
          <w:tcPr>
            <w:tcW w:w="558"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w:t>
            </w:r>
          </w:p>
        </w:tc>
        <w:tc>
          <w:tcPr>
            <w:tcW w:w="1710"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完成上级规定的考核任务；保持稳定或持续改善</w:t>
            </w:r>
          </w:p>
        </w:tc>
        <w:tc>
          <w:tcPr>
            <w:tcW w:w="772"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约束性</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①7</w:t>
            </w:r>
            <w:r>
              <w:t>9.5</w:t>
            </w:r>
            <w:r>
              <w:rPr>
                <w:rFonts w:hint="eastAsia"/>
              </w:rPr>
              <w:t>%，未完成上级规定的考核任务；</w:t>
            </w:r>
          </w:p>
          <w:p>
            <w:pPr>
              <w:pStyle w:val="54"/>
              <w:jc w:val="center"/>
            </w:pPr>
            <w:r>
              <w:rPr>
                <w:rFonts w:hint="eastAsia"/>
              </w:rPr>
              <w:t>②下降18.4%，完成上级规定的考核任务。</w:t>
            </w:r>
          </w:p>
        </w:tc>
        <w:tc>
          <w:tcPr>
            <w:tcW w:w="0" w:type="auto"/>
            <w:tcBorders>
              <w:top w:val="single" w:color="auto" w:sz="4" w:space="0"/>
              <w:left w:val="single" w:color="auto" w:sz="4" w:space="0"/>
              <w:bottom w:val="single" w:color="auto" w:sz="4" w:space="0"/>
              <w:right w:val="single" w:color="auto" w:sz="8" w:space="0"/>
            </w:tcBorders>
            <w:vAlign w:val="center"/>
          </w:tcPr>
          <w:p>
            <w:pPr>
              <w:pStyle w:val="54"/>
              <w:numPr>
                <w:ilvl w:val="0"/>
                <w:numId w:val="6"/>
              </w:numPr>
              <w:jc w:val="center"/>
            </w:pPr>
            <w:r>
              <w:rPr>
                <w:rFonts w:hint="eastAsia" w:ascii="仿宋_GB2312"/>
              </w:rPr>
              <w:t>≥</w:t>
            </w:r>
            <w:r>
              <w:t>90</w:t>
            </w:r>
            <w:r>
              <w:rPr>
                <w:rFonts w:hint="eastAsia"/>
              </w:rPr>
              <w:t>%，完成上级规定的考核任务；保持稳定或持续改善</w:t>
            </w:r>
          </w:p>
          <w:p>
            <w:pPr>
              <w:pStyle w:val="54"/>
              <w:jc w:val="center"/>
            </w:pPr>
            <w:r>
              <w:rPr>
                <w:rFonts w:hint="eastAsia"/>
              </w:rPr>
              <w:t>②</w:t>
            </w:r>
            <w:r>
              <w:rPr>
                <w:rFonts w:hint="eastAsia" w:cs="宋体"/>
              </w:rPr>
              <w:t>2</w:t>
            </w:r>
            <w:r>
              <w:rPr>
                <w:rFonts w:cs="宋体"/>
              </w:rPr>
              <w:t>5</w:t>
            </w:r>
            <w:r>
              <w:t>μg/m</w:t>
            </w:r>
            <w:r>
              <w:rPr>
                <w:vertAlign w:val="superscript"/>
              </w:rPr>
              <w:t>3</w:t>
            </w:r>
            <w:r>
              <w:rPr>
                <w:rFonts w:hint="eastAsia" w:cs="宋体"/>
              </w:rPr>
              <w:t>，</w:t>
            </w:r>
            <w:r>
              <w:rPr>
                <w:rFonts w:hint="eastAsia"/>
              </w:rPr>
              <w:t>完成上级规定的考核任务；保持稳定或持续改善</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①完成上级规定的考核任务；保持稳定或持续改善</w:t>
            </w:r>
          </w:p>
          <w:p>
            <w:pPr>
              <w:pStyle w:val="54"/>
              <w:jc w:val="center"/>
            </w:pPr>
            <w:r>
              <w:rPr>
                <w:rFonts w:hint="eastAsia"/>
              </w:rPr>
              <w:t>②完成上级规定的考核任务；保持稳定或持续改善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01" w:hRule="atLeast"/>
          <w:jc w:val="center"/>
        </w:trPr>
        <w:tc>
          <w:tcPr>
            <w:tcW w:w="279" w:type="dxa"/>
            <w:vMerge w:val="continue"/>
            <w:tcBorders>
              <w:left w:val="single" w:color="auto" w:sz="4" w:space="0"/>
              <w:right w:val="single" w:color="auto" w:sz="4" w:space="0"/>
            </w:tcBorders>
            <w:vAlign w:val="center"/>
          </w:tcPr>
          <w:p>
            <w:pPr>
              <w:pStyle w:val="54"/>
            </w:pPr>
          </w:p>
        </w:tc>
        <w:tc>
          <w:tcPr>
            <w:tcW w:w="709" w:type="dxa"/>
            <w:vMerge w:val="continue"/>
            <w:tcBorders>
              <w:left w:val="single" w:color="auto" w:sz="4" w:space="0"/>
              <w:right w:val="single" w:color="auto" w:sz="4" w:space="0"/>
            </w:tcBorders>
            <w:vAlign w:val="center"/>
          </w:tcPr>
          <w:p>
            <w:pPr>
              <w:pStyle w:val="54"/>
            </w:pPr>
          </w:p>
        </w:tc>
        <w:tc>
          <w:tcPr>
            <w:tcW w:w="425"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8</w:t>
            </w:r>
          </w:p>
        </w:tc>
        <w:tc>
          <w:tcPr>
            <w:tcW w:w="2693"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水环境质量</w:t>
            </w:r>
          </w:p>
          <w:p>
            <w:pPr>
              <w:pStyle w:val="54"/>
            </w:pPr>
            <w:r>
              <w:rPr>
                <w:rFonts w:hint="eastAsia"/>
              </w:rPr>
              <w:fldChar w:fldCharType="begin"/>
            </w:r>
            <w:r>
              <w:rPr>
                <w:rFonts w:hint="eastAsia"/>
              </w:rPr>
              <w:instrText xml:space="preserve"> = 1 \* GB3 </w:instrText>
            </w:r>
            <w:r>
              <w:rPr>
                <w:rFonts w:hint="eastAsia"/>
              </w:rPr>
              <w:fldChar w:fldCharType="separate"/>
            </w:r>
            <w:r>
              <w:rPr>
                <w:rFonts w:hint="eastAsia"/>
              </w:rPr>
              <w:t>①</w:t>
            </w:r>
            <w:r>
              <w:rPr>
                <w:rFonts w:hint="eastAsia"/>
              </w:rPr>
              <w:fldChar w:fldCharType="end"/>
            </w:r>
            <w:r>
              <w:rPr>
                <w:rFonts w:hint="eastAsia"/>
              </w:rPr>
              <w:t>水质达到或优于Ⅲ类比例提高幅度</w:t>
            </w:r>
          </w:p>
          <w:p>
            <w:pPr>
              <w:pStyle w:val="54"/>
            </w:pPr>
            <w:r>
              <w:rPr>
                <w:rFonts w:hint="eastAsia"/>
              </w:rPr>
              <w:fldChar w:fldCharType="begin"/>
            </w:r>
            <w:r>
              <w:rPr>
                <w:rFonts w:hint="eastAsia"/>
              </w:rPr>
              <w:instrText xml:space="preserve"> = 2 \* GB3 </w:instrText>
            </w:r>
            <w:r>
              <w:rPr>
                <w:rFonts w:hint="eastAsia"/>
              </w:rPr>
              <w:fldChar w:fldCharType="separate"/>
            </w:r>
            <w:r>
              <w:rPr>
                <w:rFonts w:hint="eastAsia"/>
              </w:rPr>
              <w:t>②</w:t>
            </w:r>
            <w:r>
              <w:rPr>
                <w:rFonts w:hint="eastAsia"/>
              </w:rPr>
              <w:fldChar w:fldCharType="end"/>
            </w:r>
            <w:r>
              <w:rPr>
                <w:rFonts w:hint="eastAsia"/>
              </w:rPr>
              <w:t>劣V类水体比例下降幅度</w:t>
            </w:r>
          </w:p>
          <w:p>
            <w:pPr>
              <w:pStyle w:val="54"/>
            </w:pPr>
            <w:r>
              <w:rPr>
                <w:rFonts w:hint="eastAsia"/>
              </w:rPr>
              <w:fldChar w:fldCharType="begin"/>
            </w:r>
            <w:r>
              <w:rPr>
                <w:rFonts w:hint="eastAsia"/>
              </w:rPr>
              <w:instrText xml:space="preserve"> = 3 \* GB3 </w:instrText>
            </w:r>
            <w:r>
              <w:rPr>
                <w:rFonts w:hint="eastAsia"/>
              </w:rPr>
              <w:fldChar w:fldCharType="separate"/>
            </w:r>
            <w:r>
              <w:rPr>
                <w:rFonts w:hint="eastAsia"/>
              </w:rPr>
              <w:t>③</w:t>
            </w:r>
            <w:r>
              <w:rPr>
                <w:rFonts w:hint="eastAsia"/>
              </w:rPr>
              <w:fldChar w:fldCharType="end"/>
            </w:r>
            <w:r>
              <w:rPr>
                <w:rFonts w:hint="eastAsia"/>
              </w:rPr>
              <w:t>黑臭水体消除比例</w:t>
            </w:r>
          </w:p>
        </w:tc>
        <w:tc>
          <w:tcPr>
            <w:tcW w:w="558"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w:t>
            </w:r>
          </w:p>
        </w:tc>
        <w:tc>
          <w:tcPr>
            <w:tcW w:w="1710"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完成上级规定的考核任务；保持稳定或持续改善</w:t>
            </w:r>
          </w:p>
        </w:tc>
        <w:tc>
          <w:tcPr>
            <w:tcW w:w="772"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约束性</w:t>
            </w:r>
          </w:p>
        </w:tc>
        <w:tc>
          <w:tcPr>
            <w:tcW w:w="0" w:type="auto"/>
            <w:tcBorders>
              <w:top w:val="single" w:color="auto" w:sz="4" w:space="0"/>
              <w:left w:val="single" w:color="auto" w:sz="4" w:space="0"/>
              <w:bottom w:val="single" w:color="auto" w:sz="4" w:space="0"/>
              <w:right w:val="single" w:color="auto" w:sz="8" w:space="0"/>
            </w:tcBorders>
            <w:vAlign w:val="center"/>
          </w:tcPr>
          <w:p>
            <w:pPr>
              <w:pStyle w:val="54"/>
              <w:numPr>
                <w:ilvl w:val="0"/>
                <w:numId w:val="7"/>
              </w:numPr>
              <w:jc w:val="center"/>
            </w:pPr>
            <w:r>
              <w:rPr>
                <w:rFonts w:hint="eastAsia"/>
              </w:rPr>
              <w:t>水质优良率1</w:t>
            </w:r>
            <w:r>
              <w:t>00</w:t>
            </w:r>
            <w:r>
              <w:rPr>
                <w:rFonts w:hint="eastAsia"/>
              </w:rPr>
              <w:t>%，完成上级规定的考核任务</w:t>
            </w:r>
          </w:p>
          <w:p>
            <w:pPr>
              <w:pStyle w:val="54"/>
              <w:numPr>
                <w:ilvl w:val="0"/>
                <w:numId w:val="7"/>
              </w:numPr>
              <w:jc w:val="center"/>
            </w:pPr>
            <w:r>
              <w:t>劣V类水体比例为</w:t>
            </w:r>
            <w:r>
              <w:rPr>
                <w:rFonts w:hint="eastAsia"/>
              </w:rPr>
              <w:t>0%，完成上级规定的考核任务</w:t>
            </w:r>
          </w:p>
          <w:p>
            <w:pPr>
              <w:pStyle w:val="54"/>
              <w:numPr>
                <w:ilvl w:val="0"/>
                <w:numId w:val="7"/>
              </w:numPr>
              <w:jc w:val="center"/>
            </w:pPr>
            <w:r>
              <w:rPr>
                <w:rFonts w:hint="eastAsia"/>
              </w:rPr>
              <w:t>黑臭水体全面消除</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fldChar w:fldCharType="begin"/>
            </w:r>
            <w:r>
              <w:rPr>
                <w:rFonts w:hint="eastAsia"/>
              </w:rPr>
              <w:instrText xml:space="preserve"> = 1 \* GB3 </w:instrText>
            </w:r>
            <w:r>
              <w:rPr>
                <w:rFonts w:hint="eastAsia"/>
              </w:rPr>
              <w:fldChar w:fldCharType="separate"/>
            </w:r>
            <w:r>
              <w:rPr>
                <w:rFonts w:hint="eastAsia"/>
              </w:rPr>
              <w:t>①</w:t>
            </w:r>
            <w:r>
              <w:rPr>
                <w:rFonts w:hint="eastAsia"/>
              </w:rPr>
              <w:fldChar w:fldCharType="end"/>
            </w:r>
            <w:r>
              <w:rPr>
                <w:rFonts w:hint="eastAsia"/>
              </w:rPr>
              <w:t>1</w:t>
            </w:r>
            <w:r>
              <w:t>00</w:t>
            </w:r>
            <w:r>
              <w:rPr>
                <w:rFonts w:hint="eastAsia"/>
              </w:rPr>
              <w:t>%，完成上级规定的考核任务；保持稳定或持续改善</w:t>
            </w:r>
          </w:p>
          <w:p>
            <w:pPr>
              <w:pStyle w:val="54"/>
              <w:jc w:val="center"/>
            </w:pPr>
            <w:r>
              <w:rPr>
                <w:rFonts w:hint="eastAsia"/>
              </w:rPr>
              <w:t>②全面消除劣五类</w:t>
            </w:r>
          </w:p>
          <w:p>
            <w:pPr>
              <w:pStyle w:val="54"/>
              <w:jc w:val="center"/>
            </w:pPr>
            <w:r>
              <w:rPr>
                <w:rFonts w:hint="eastAsia"/>
              </w:rPr>
              <w:fldChar w:fldCharType="begin"/>
            </w:r>
            <w:r>
              <w:rPr>
                <w:rFonts w:hint="eastAsia"/>
              </w:rPr>
              <w:instrText xml:space="preserve"> = 3 \* GB3 </w:instrText>
            </w:r>
            <w:r>
              <w:rPr>
                <w:rFonts w:hint="eastAsia"/>
              </w:rPr>
              <w:fldChar w:fldCharType="separate"/>
            </w:r>
            <w:r>
              <w:rPr>
                <w:rFonts w:hint="eastAsia"/>
              </w:rPr>
              <w:t>③</w:t>
            </w:r>
            <w:r>
              <w:rPr>
                <w:rFonts w:hint="eastAsia"/>
              </w:rPr>
              <w:fldChar w:fldCharType="end"/>
            </w:r>
            <w:r>
              <w:rPr>
                <w:rFonts w:hint="eastAsia"/>
              </w:rPr>
              <w:t>全面消除黑臭水体</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fldChar w:fldCharType="begin"/>
            </w:r>
            <w:r>
              <w:rPr>
                <w:rFonts w:hint="eastAsia"/>
              </w:rPr>
              <w:instrText xml:space="preserve"> = 1 \* GB3 </w:instrText>
            </w:r>
            <w:r>
              <w:rPr>
                <w:rFonts w:hint="eastAsia"/>
              </w:rPr>
              <w:fldChar w:fldCharType="separate"/>
            </w:r>
            <w:r>
              <w:rPr>
                <w:rFonts w:hint="eastAsia"/>
              </w:rPr>
              <w:t>①</w:t>
            </w:r>
            <w:r>
              <w:rPr>
                <w:rFonts w:hint="eastAsia"/>
              </w:rPr>
              <w:fldChar w:fldCharType="end"/>
            </w:r>
            <w:r>
              <w:t>100</w:t>
            </w:r>
            <w:r>
              <w:rPr>
                <w:rFonts w:hint="eastAsia"/>
              </w:rPr>
              <w:t>%，完成上级规定的考核任务；保持稳定或持续改善</w:t>
            </w:r>
          </w:p>
          <w:p>
            <w:pPr>
              <w:pStyle w:val="54"/>
              <w:jc w:val="center"/>
            </w:pPr>
            <w:r>
              <w:rPr>
                <w:rFonts w:hint="eastAsia"/>
              </w:rPr>
              <w:t>②全面消除劣五类</w:t>
            </w:r>
          </w:p>
          <w:p>
            <w:pPr>
              <w:pStyle w:val="54"/>
              <w:jc w:val="center"/>
            </w:pPr>
            <w:r>
              <w:rPr>
                <w:rFonts w:hint="eastAsia"/>
              </w:rPr>
              <w:fldChar w:fldCharType="begin"/>
            </w:r>
            <w:r>
              <w:rPr>
                <w:rFonts w:hint="eastAsia"/>
              </w:rPr>
              <w:instrText xml:space="preserve"> = 3 \* GB3 </w:instrText>
            </w:r>
            <w:r>
              <w:rPr>
                <w:rFonts w:hint="eastAsia"/>
              </w:rPr>
              <w:fldChar w:fldCharType="separate"/>
            </w:r>
            <w:r>
              <w:rPr>
                <w:rFonts w:hint="eastAsia"/>
              </w:rPr>
              <w:t>③</w:t>
            </w:r>
            <w:r>
              <w:rPr>
                <w:rFonts w:hint="eastAsia"/>
              </w:rPr>
              <w:fldChar w:fldCharType="end"/>
            </w:r>
            <w:r>
              <w:rPr>
                <w:rFonts w:hint="eastAsia"/>
              </w:rPr>
              <w:t>全面消除黑臭水体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118" w:hRule="atLeast"/>
          <w:jc w:val="center"/>
        </w:trPr>
        <w:tc>
          <w:tcPr>
            <w:tcW w:w="279" w:type="dxa"/>
            <w:vMerge w:val="continue"/>
            <w:tcBorders>
              <w:left w:val="single" w:color="auto" w:sz="4" w:space="0"/>
              <w:right w:val="single" w:color="auto" w:sz="4" w:space="0"/>
            </w:tcBorders>
            <w:vAlign w:val="center"/>
          </w:tcPr>
          <w:p>
            <w:pPr>
              <w:pStyle w:val="54"/>
            </w:pPr>
          </w:p>
        </w:tc>
        <w:tc>
          <w:tcPr>
            <w:tcW w:w="709" w:type="dxa"/>
            <w:vMerge w:val="continue"/>
            <w:tcBorders>
              <w:left w:val="single" w:color="auto" w:sz="4" w:space="0"/>
              <w:bottom w:val="single" w:color="auto" w:sz="4" w:space="0"/>
              <w:right w:val="single" w:color="auto" w:sz="4" w:space="0"/>
            </w:tcBorders>
            <w:vAlign w:val="center"/>
          </w:tcPr>
          <w:p>
            <w:pPr>
              <w:pStyle w:val="54"/>
            </w:pPr>
          </w:p>
        </w:tc>
        <w:tc>
          <w:tcPr>
            <w:tcW w:w="425"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9</w:t>
            </w:r>
          </w:p>
        </w:tc>
        <w:tc>
          <w:tcPr>
            <w:tcW w:w="2693"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近岸海域水质优良（一、二类）比例</w:t>
            </w:r>
          </w:p>
        </w:tc>
        <w:tc>
          <w:tcPr>
            <w:tcW w:w="558" w:type="dxa"/>
            <w:tcBorders>
              <w:top w:val="single" w:color="auto" w:sz="4" w:space="0"/>
              <w:left w:val="single" w:color="auto" w:sz="4" w:space="0"/>
              <w:bottom w:val="single" w:color="auto" w:sz="4" w:space="0"/>
              <w:right w:val="single" w:color="auto" w:sz="4" w:space="0"/>
            </w:tcBorders>
            <w:vAlign w:val="center"/>
          </w:tcPr>
          <w:p>
            <w:pPr>
              <w:pStyle w:val="54"/>
            </w:pPr>
            <w:r>
              <w:t>%</w:t>
            </w:r>
          </w:p>
        </w:tc>
        <w:tc>
          <w:tcPr>
            <w:tcW w:w="1710"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完成上级规定的考</w:t>
            </w:r>
          </w:p>
          <w:p>
            <w:pPr>
              <w:pStyle w:val="54"/>
            </w:pPr>
            <w:r>
              <w:rPr>
                <w:rFonts w:hint="eastAsia"/>
              </w:rPr>
              <w:t>核任务；保持稳定</w:t>
            </w:r>
          </w:p>
          <w:p>
            <w:pPr>
              <w:pStyle w:val="54"/>
            </w:pPr>
            <w:r>
              <w:rPr>
                <w:rFonts w:hint="eastAsia"/>
              </w:rPr>
              <w:t>或持续改善</w:t>
            </w:r>
          </w:p>
        </w:tc>
        <w:tc>
          <w:tcPr>
            <w:tcW w:w="772"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约束性</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52" w:hRule="atLeast"/>
          <w:jc w:val="center"/>
        </w:trPr>
        <w:tc>
          <w:tcPr>
            <w:tcW w:w="279" w:type="dxa"/>
            <w:vMerge w:val="continue"/>
            <w:tcBorders>
              <w:left w:val="single" w:color="auto" w:sz="4" w:space="0"/>
              <w:right w:val="single" w:color="auto" w:sz="4" w:space="0"/>
            </w:tcBorders>
            <w:vAlign w:val="center"/>
          </w:tcPr>
          <w:p>
            <w:pPr>
              <w:pStyle w:val="54"/>
            </w:pPr>
          </w:p>
        </w:tc>
        <w:tc>
          <w:tcPr>
            <w:tcW w:w="709" w:type="dxa"/>
            <w:vMerge w:val="restart"/>
            <w:tcBorders>
              <w:top w:val="single" w:color="auto" w:sz="4" w:space="0"/>
              <w:left w:val="single" w:color="auto" w:sz="4" w:space="0"/>
              <w:right w:val="single" w:color="auto" w:sz="4" w:space="0"/>
            </w:tcBorders>
            <w:vAlign w:val="center"/>
          </w:tcPr>
          <w:p>
            <w:pPr>
              <w:pStyle w:val="54"/>
            </w:pPr>
            <w:r>
              <w:rPr>
                <w:rFonts w:hint="eastAsia"/>
              </w:rPr>
              <w:t>（三）生态系统保护</w:t>
            </w:r>
          </w:p>
        </w:tc>
        <w:tc>
          <w:tcPr>
            <w:tcW w:w="425"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10</w:t>
            </w:r>
          </w:p>
        </w:tc>
        <w:tc>
          <w:tcPr>
            <w:tcW w:w="2693"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生态环境状况指数</w:t>
            </w:r>
          </w:p>
          <w:p>
            <w:pPr>
              <w:pStyle w:val="54"/>
            </w:pPr>
            <w:r>
              <w:rPr>
                <w:rFonts w:hint="eastAsia"/>
              </w:rPr>
              <w:t>其他地区</w:t>
            </w:r>
          </w:p>
        </w:tc>
        <w:tc>
          <w:tcPr>
            <w:tcW w:w="558"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w:t>
            </w:r>
          </w:p>
        </w:tc>
        <w:tc>
          <w:tcPr>
            <w:tcW w:w="1710"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≥60</w:t>
            </w:r>
          </w:p>
        </w:tc>
        <w:tc>
          <w:tcPr>
            <w:tcW w:w="772"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约束性</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6</w:t>
            </w:r>
            <w:r>
              <w:t>6.2</w:t>
            </w:r>
            <w:r>
              <w:rPr>
                <w:rFonts w:hint="eastAsia"/>
                <w:vertAlign w:val="superscript"/>
              </w:rPr>
              <w:t>1</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持续提高</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持续提高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58" w:hRule="atLeast"/>
          <w:jc w:val="center"/>
        </w:trPr>
        <w:tc>
          <w:tcPr>
            <w:tcW w:w="279" w:type="dxa"/>
            <w:vMerge w:val="continue"/>
            <w:tcBorders>
              <w:left w:val="single" w:color="auto" w:sz="4" w:space="0"/>
              <w:right w:val="single" w:color="auto" w:sz="4" w:space="0"/>
            </w:tcBorders>
            <w:vAlign w:val="center"/>
          </w:tcPr>
          <w:p>
            <w:pPr>
              <w:pStyle w:val="54"/>
            </w:pPr>
          </w:p>
        </w:tc>
        <w:tc>
          <w:tcPr>
            <w:tcW w:w="709" w:type="dxa"/>
            <w:vMerge w:val="continue"/>
            <w:tcBorders>
              <w:left w:val="single" w:color="auto" w:sz="4" w:space="0"/>
              <w:right w:val="single" w:color="auto" w:sz="4" w:space="0"/>
            </w:tcBorders>
            <w:vAlign w:val="center"/>
          </w:tcPr>
          <w:p>
            <w:pPr>
              <w:pStyle w:val="54"/>
            </w:pPr>
          </w:p>
        </w:tc>
        <w:tc>
          <w:tcPr>
            <w:tcW w:w="425"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11</w:t>
            </w:r>
          </w:p>
        </w:tc>
        <w:tc>
          <w:tcPr>
            <w:tcW w:w="2693"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林草覆盖率（平原地区）</w:t>
            </w:r>
          </w:p>
        </w:tc>
        <w:tc>
          <w:tcPr>
            <w:tcW w:w="558"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w:t>
            </w:r>
          </w:p>
        </w:tc>
        <w:tc>
          <w:tcPr>
            <w:tcW w:w="1710"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≥18</w:t>
            </w:r>
          </w:p>
        </w:tc>
        <w:tc>
          <w:tcPr>
            <w:tcW w:w="772"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参考性</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26.0</w:t>
            </w:r>
            <w:r>
              <w:t>8</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t>26.5</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持续提高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79" w:type="dxa"/>
            <w:vMerge w:val="continue"/>
            <w:tcBorders>
              <w:left w:val="single" w:color="auto" w:sz="4" w:space="0"/>
              <w:right w:val="single" w:color="auto" w:sz="4" w:space="0"/>
            </w:tcBorders>
            <w:vAlign w:val="center"/>
          </w:tcPr>
          <w:p>
            <w:pPr>
              <w:pStyle w:val="54"/>
            </w:pPr>
          </w:p>
        </w:tc>
        <w:tc>
          <w:tcPr>
            <w:tcW w:w="709" w:type="dxa"/>
            <w:vMerge w:val="continue"/>
            <w:tcBorders>
              <w:left w:val="single" w:color="auto" w:sz="4" w:space="0"/>
              <w:right w:val="single" w:color="auto" w:sz="4" w:space="0"/>
            </w:tcBorders>
            <w:vAlign w:val="center"/>
          </w:tcPr>
          <w:p>
            <w:pPr>
              <w:pStyle w:val="54"/>
            </w:pPr>
          </w:p>
        </w:tc>
        <w:tc>
          <w:tcPr>
            <w:tcW w:w="425"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12</w:t>
            </w:r>
          </w:p>
        </w:tc>
        <w:tc>
          <w:tcPr>
            <w:tcW w:w="2693"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生物多样性保护</w:t>
            </w:r>
          </w:p>
          <w:p>
            <w:pPr>
              <w:pStyle w:val="54"/>
            </w:pPr>
            <w:r>
              <w:rPr>
                <w:rFonts w:hint="eastAsia"/>
              </w:rPr>
              <w:t>①国家重点保护野生动植物保护率</w:t>
            </w:r>
          </w:p>
          <w:p>
            <w:pPr>
              <w:pStyle w:val="54"/>
            </w:pPr>
            <w:r>
              <w:rPr>
                <w:rFonts w:hint="eastAsia"/>
              </w:rPr>
              <w:t>②外来物种入侵</w:t>
            </w:r>
          </w:p>
          <w:p>
            <w:pPr>
              <w:pStyle w:val="54"/>
            </w:pPr>
            <w:r>
              <w:rPr>
                <w:rFonts w:hint="eastAsia"/>
              </w:rPr>
              <w:t>③特有性或指示性水生物种保持率</w:t>
            </w:r>
          </w:p>
        </w:tc>
        <w:tc>
          <w:tcPr>
            <w:tcW w:w="558" w:type="dxa"/>
            <w:tcBorders>
              <w:top w:val="single" w:color="auto" w:sz="4" w:space="0"/>
              <w:left w:val="single" w:color="auto" w:sz="4" w:space="0"/>
              <w:bottom w:val="single" w:color="auto" w:sz="4" w:space="0"/>
              <w:right w:val="single" w:color="auto" w:sz="4" w:space="0"/>
            </w:tcBorders>
            <w:vAlign w:val="center"/>
          </w:tcPr>
          <w:p>
            <w:pPr>
              <w:pStyle w:val="54"/>
            </w:pPr>
          </w:p>
          <w:p>
            <w:pPr>
              <w:pStyle w:val="54"/>
            </w:pPr>
            <w:r>
              <w:rPr>
                <w:rFonts w:hint="eastAsia"/>
              </w:rPr>
              <w:t>-</w:t>
            </w:r>
          </w:p>
        </w:tc>
        <w:tc>
          <w:tcPr>
            <w:tcW w:w="1710" w:type="dxa"/>
            <w:tcBorders>
              <w:top w:val="single" w:color="auto" w:sz="4" w:space="0"/>
              <w:left w:val="single" w:color="auto" w:sz="4" w:space="0"/>
              <w:bottom w:val="single" w:color="auto" w:sz="4" w:space="0"/>
              <w:right w:val="single" w:color="auto" w:sz="4" w:space="0"/>
            </w:tcBorders>
            <w:vAlign w:val="center"/>
          </w:tcPr>
          <w:p>
            <w:pPr>
              <w:pStyle w:val="54"/>
            </w:pPr>
          </w:p>
          <w:p>
            <w:pPr>
              <w:pStyle w:val="54"/>
            </w:pPr>
            <w:r>
              <w:rPr>
                <w:rFonts w:hint="eastAsia"/>
              </w:rPr>
              <w:t>≥95</w:t>
            </w:r>
          </w:p>
          <w:p>
            <w:pPr>
              <w:pStyle w:val="54"/>
            </w:pPr>
            <w:r>
              <w:rPr>
                <w:rFonts w:hint="eastAsia"/>
              </w:rPr>
              <w:t>不明显</w:t>
            </w:r>
          </w:p>
          <w:p>
            <w:pPr>
              <w:pStyle w:val="54"/>
            </w:pPr>
            <w:r>
              <w:rPr>
                <w:rFonts w:hint="eastAsia"/>
              </w:rPr>
              <w:t>不降低</w:t>
            </w:r>
          </w:p>
        </w:tc>
        <w:tc>
          <w:tcPr>
            <w:tcW w:w="772"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参考性</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①100%</w:t>
            </w:r>
          </w:p>
          <w:p>
            <w:pPr>
              <w:pStyle w:val="54"/>
              <w:jc w:val="center"/>
            </w:pPr>
            <w:r>
              <w:rPr>
                <w:rFonts w:hint="eastAsia"/>
              </w:rPr>
              <w:t>②不明显</w:t>
            </w:r>
          </w:p>
          <w:p>
            <w:pPr>
              <w:pStyle w:val="54"/>
              <w:jc w:val="center"/>
            </w:pPr>
            <w:r>
              <w:rPr>
                <w:rFonts w:hint="eastAsia"/>
              </w:rPr>
              <w:t>③不降低</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①100%</w:t>
            </w:r>
          </w:p>
          <w:p>
            <w:pPr>
              <w:pStyle w:val="54"/>
              <w:jc w:val="center"/>
            </w:pPr>
            <w:r>
              <w:rPr>
                <w:rFonts w:hint="eastAsia"/>
              </w:rPr>
              <w:t>②不明显</w:t>
            </w:r>
          </w:p>
          <w:p>
            <w:pPr>
              <w:pStyle w:val="54"/>
              <w:jc w:val="center"/>
            </w:pPr>
            <w:r>
              <w:rPr>
                <w:rFonts w:hint="eastAsia"/>
              </w:rPr>
              <w:t>③不降低</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①100%</w:t>
            </w:r>
          </w:p>
          <w:p>
            <w:pPr>
              <w:pStyle w:val="54"/>
              <w:jc w:val="center"/>
            </w:pPr>
            <w:r>
              <w:rPr>
                <w:rFonts w:hint="eastAsia"/>
              </w:rPr>
              <w:t>②不明显</w:t>
            </w:r>
          </w:p>
          <w:p>
            <w:pPr>
              <w:pStyle w:val="54"/>
              <w:jc w:val="center"/>
            </w:pPr>
            <w:r>
              <w:rPr>
                <w:rFonts w:hint="eastAsia"/>
              </w:rPr>
              <w:t>③不降低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79" w:type="dxa"/>
            <w:vMerge w:val="continue"/>
            <w:tcBorders>
              <w:left w:val="single" w:color="auto" w:sz="4" w:space="0"/>
              <w:right w:val="single" w:color="auto" w:sz="4" w:space="0"/>
            </w:tcBorders>
            <w:vAlign w:val="center"/>
          </w:tcPr>
          <w:p>
            <w:pPr>
              <w:pStyle w:val="54"/>
            </w:pPr>
          </w:p>
        </w:tc>
        <w:tc>
          <w:tcPr>
            <w:tcW w:w="709" w:type="dxa"/>
            <w:vMerge w:val="continue"/>
            <w:tcBorders>
              <w:left w:val="single" w:color="auto" w:sz="4" w:space="0"/>
              <w:bottom w:val="single" w:color="auto" w:sz="4" w:space="0"/>
              <w:right w:val="single" w:color="auto" w:sz="4" w:space="0"/>
            </w:tcBorders>
            <w:vAlign w:val="center"/>
          </w:tcPr>
          <w:p>
            <w:pPr>
              <w:pStyle w:val="54"/>
            </w:pPr>
          </w:p>
        </w:tc>
        <w:tc>
          <w:tcPr>
            <w:tcW w:w="425" w:type="dxa"/>
            <w:tcBorders>
              <w:top w:val="single" w:color="auto" w:sz="4" w:space="0"/>
              <w:left w:val="single" w:color="auto" w:sz="4" w:space="0"/>
              <w:bottom w:val="single" w:color="auto" w:sz="4" w:space="0"/>
              <w:right w:val="single" w:color="auto" w:sz="4" w:space="0"/>
            </w:tcBorders>
            <w:vAlign w:val="center"/>
          </w:tcPr>
          <w:p>
            <w:pPr>
              <w:pStyle w:val="54"/>
            </w:pPr>
            <w:r>
              <w:t>13</w:t>
            </w:r>
          </w:p>
        </w:tc>
        <w:tc>
          <w:tcPr>
            <w:tcW w:w="2693"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海岸生态修复</w:t>
            </w:r>
          </w:p>
          <w:p>
            <w:pPr>
              <w:pStyle w:val="54"/>
            </w:pPr>
            <w:r>
              <w:rPr>
                <w:rFonts w:hint="eastAsia"/>
              </w:rPr>
              <w:t>自然岸线修复长度</w:t>
            </w:r>
          </w:p>
          <w:p>
            <w:pPr>
              <w:pStyle w:val="54"/>
            </w:pPr>
            <w:r>
              <w:rPr>
                <w:rFonts w:hint="eastAsia"/>
              </w:rPr>
              <w:t>滨海湿地修复面积</w:t>
            </w:r>
          </w:p>
        </w:tc>
        <w:tc>
          <w:tcPr>
            <w:tcW w:w="558"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公里</w:t>
            </w:r>
          </w:p>
          <w:p>
            <w:pPr>
              <w:pStyle w:val="54"/>
            </w:pPr>
            <w:r>
              <w:rPr>
                <w:rFonts w:hint="eastAsia"/>
              </w:rPr>
              <w:t>公顷</w:t>
            </w:r>
          </w:p>
        </w:tc>
        <w:tc>
          <w:tcPr>
            <w:tcW w:w="1710"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完成上级管控目标</w:t>
            </w:r>
          </w:p>
        </w:tc>
        <w:tc>
          <w:tcPr>
            <w:tcW w:w="772"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参考性</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79" w:type="dxa"/>
            <w:vMerge w:val="continue"/>
            <w:tcBorders>
              <w:left w:val="single" w:color="auto" w:sz="4" w:space="0"/>
              <w:right w:val="single" w:color="auto" w:sz="4" w:space="0"/>
            </w:tcBorders>
            <w:vAlign w:val="center"/>
          </w:tcPr>
          <w:p>
            <w:pPr>
              <w:pStyle w:val="54"/>
            </w:pPr>
          </w:p>
        </w:tc>
        <w:tc>
          <w:tcPr>
            <w:tcW w:w="709" w:type="dxa"/>
            <w:vMerge w:val="restart"/>
            <w:tcBorders>
              <w:top w:val="single" w:color="auto" w:sz="4" w:space="0"/>
              <w:left w:val="single" w:color="auto" w:sz="4" w:space="0"/>
              <w:right w:val="single" w:color="auto" w:sz="4" w:space="0"/>
            </w:tcBorders>
            <w:vAlign w:val="center"/>
          </w:tcPr>
          <w:p>
            <w:pPr>
              <w:pStyle w:val="54"/>
            </w:pPr>
            <w:r>
              <w:t>(四)生态环境风险防范</w:t>
            </w:r>
          </w:p>
        </w:tc>
        <w:tc>
          <w:tcPr>
            <w:tcW w:w="425"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14</w:t>
            </w:r>
          </w:p>
        </w:tc>
        <w:tc>
          <w:tcPr>
            <w:tcW w:w="2693"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危险废物利用处置率</w:t>
            </w:r>
          </w:p>
        </w:tc>
        <w:tc>
          <w:tcPr>
            <w:tcW w:w="558"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w:t>
            </w:r>
          </w:p>
        </w:tc>
        <w:tc>
          <w:tcPr>
            <w:tcW w:w="1710"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100</w:t>
            </w:r>
          </w:p>
        </w:tc>
        <w:tc>
          <w:tcPr>
            <w:tcW w:w="772"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约束性</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100</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100</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79" w:type="dxa"/>
            <w:vMerge w:val="continue"/>
            <w:tcBorders>
              <w:left w:val="single" w:color="auto" w:sz="4" w:space="0"/>
              <w:right w:val="single" w:color="auto" w:sz="4" w:space="0"/>
            </w:tcBorders>
            <w:vAlign w:val="center"/>
          </w:tcPr>
          <w:p>
            <w:pPr>
              <w:pStyle w:val="54"/>
            </w:pPr>
          </w:p>
        </w:tc>
        <w:tc>
          <w:tcPr>
            <w:tcW w:w="709" w:type="dxa"/>
            <w:vMerge w:val="continue"/>
            <w:tcBorders>
              <w:left w:val="single" w:color="auto" w:sz="4" w:space="0"/>
              <w:right w:val="single" w:color="auto" w:sz="4" w:space="0"/>
            </w:tcBorders>
            <w:vAlign w:val="center"/>
          </w:tcPr>
          <w:p>
            <w:pPr>
              <w:pStyle w:val="54"/>
            </w:pPr>
          </w:p>
        </w:tc>
        <w:tc>
          <w:tcPr>
            <w:tcW w:w="425"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15</w:t>
            </w:r>
          </w:p>
        </w:tc>
        <w:tc>
          <w:tcPr>
            <w:tcW w:w="2693"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建设用地土壤污染风险管控和修复名录制度</w:t>
            </w:r>
          </w:p>
        </w:tc>
        <w:tc>
          <w:tcPr>
            <w:tcW w:w="558"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w:t>
            </w:r>
          </w:p>
        </w:tc>
        <w:tc>
          <w:tcPr>
            <w:tcW w:w="1710"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建立</w:t>
            </w:r>
          </w:p>
        </w:tc>
        <w:tc>
          <w:tcPr>
            <w:tcW w:w="772"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参考性</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建立</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t>严格执行</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t>严格执行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79" w:type="dxa"/>
            <w:vMerge w:val="continue"/>
            <w:tcBorders>
              <w:left w:val="single" w:color="auto" w:sz="4" w:space="0"/>
              <w:bottom w:val="single" w:color="auto" w:sz="4" w:space="0"/>
              <w:right w:val="single" w:color="auto" w:sz="4" w:space="0"/>
            </w:tcBorders>
            <w:vAlign w:val="center"/>
          </w:tcPr>
          <w:p>
            <w:pPr>
              <w:pStyle w:val="54"/>
            </w:pPr>
          </w:p>
        </w:tc>
        <w:tc>
          <w:tcPr>
            <w:tcW w:w="709" w:type="dxa"/>
            <w:vMerge w:val="continue"/>
            <w:tcBorders>
              <w:left w:val="single" w:color="auto" w:sz="4" w:space="0"/>
              <w:bottom w:val="single" w:color="auto" w:sz="4" w:space="0"/>
              <w:right w:val="single" w:color="auto" w:sz="4" w:space="0"/>
            </w:tcBorders>
            <w:vAlign w:val="center"/>
          </w:tcPr>
          <w:p>
            <w:pPr>
              <w:pStyle w:val="54"/>
            </w:pPr>
          </w:p>
        </w:tc>
        <w:tc>
          <w:tcPr>
            <w:tcW w:w="425"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16</w:t>
            </w:r>
          </w:p>
        </w:tc>
        <w:tc>
          <w:tcPr>
            <w:tcW w:w="2693"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突发生态环境事件应急管理机制</w:t>
            </w:r>
          </w:p>
        </w:tc>
        <w:tc>
          <w:tcPr>
            <w:tcW w:w="558"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w:t>
            </w:r>
          </w:p>
        </w:tc>
        <w:tc>
          <w:tcPr>
            <w:tcW w:w="1710"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建立</w:t>
            </w:r>
          </w:p>
        </w:tc>
        <w:tc>
          <w:tcPr>
            <w:tcW w:w="772"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约束性</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建立</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t>严格执行</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t>严格执行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79" w:type="dxa"/>
            <w:vMerge w:val="restart"/>
            <w:tcBorders>
              <w:top w:val="single" w:color="auto" w:sz="4" w:space="0"/>
              <w:left w:val="single" w:color="auto" w:sz="4" w:space="0"/>
              <w:right w:val="single" w:color="auto" w:sz="4" w:space="0"/>
            </w:tcBorders>
            <w:vAlign w:val="center"/>
          </w:tcPr>
          <w:p>
            <w:pPr>
              <w:pStyle w:val="54"/>
            </w:pPr>
            <w:r>
              <w:rPr>
                <w:rFonts w:hint="eastAsia"/>
              </w:rPr>
              <w:t>生态空间</w:t>
            </w:r>
          </w:p>
        </w:tc>
        <w:tc>
          <w:tcPr>
            <w:tcW w:w="709" w:type="dxa"/>
            <w:vMerge w:val="restart"/>
            <w:tcBorders>
              <w:top w:val="single" w:color="auto" w:sz="4" w:space="0"/>
              <w:left w:val="single" w:color="auto" w:sz="4" w:space="0"/>
              <w:right w:val="single" w:color="auto" w:sz="4" w:space="0"/>
            </w:tcBorders>
            <w:vAlign w:val="center"/>
          </w:tcPr>
          <w:p>
            <w:pPr>
              <w:pStyle w:val="54"/>
            </w:pPr>
            <w:r>
              <w:rPr>
                <w:rFonts w:hint="eastAsia"/>
              </w:rPr>
              <w:t>（五）空间格局优化</w:t>
            </w:r>
          </w:p>
        </w:tc>
        <w:tc>
          <w:tcPr>
            <w:tcW w:w="425"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17</w:t>
            </w:r>
          </w:p>
        </w:tc>
        <w:tc>
          <w:tcPr>
            <w:tcW w:w="2693"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自然生态空间</w:t>
            </w:r>
          </w:p>
          <w:p>
            <w:pPr>
              <w:pStyle w:val="54"/>
            </w:pPr>
            <w:r>
              <w:rPr>
                <w:rFonts w:hint="eastAsia"/>
              </w:rPr>
              <w:t>①生态保护红线</w:t>
            </w:r>
          </w:p>
          <w:p>
            <w:pPr>
              <w:pStyle w:val="54"/>
            </w:pPr>
            <w:r>
              <w:rPr>
                <w:rFonts w:hint="eastAsia"/>
              </w:rPr>
              <w:t>②自然保护地</w:t>
            </w:r>
          </w:p>
        </w:tc>
        <w:tc>
          <w:tcPr>
            <w:tcW w:w="558"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w:t>
            </w:r>
          </w:p>
        </w:tc>
        <w:tc>
          <w:tcPr>
            <w:tcW w:w="1710"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面积不减少，性质不改变，功能不降低</w:t>
            </w:r>
          </w:p>
        </w:tc>
        <w:tc>
          <w:tcPr>
            <w:tcW w:w="772"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约束性</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面积不减少，性质不改变，功能不降低</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面积不减少，性质不改变，功能不降低</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面积不减少，性质不改变，功能不降低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79" w:type="dxa"/>
            <w:vMerge w:val="continue"/>
            <w:tcBorders>
              <w:left w:val="single" w:color="auto" w:sz="4" w:space="0"/>
              <w:right w:val="single" w:color="auto" w:sz="4" w:space="0"/>
            </w:tcBorders>
            <w:vAlign w:val="center"/>
          </w:tcPr>
          <w:p>
            <w:pPr>
              <w:pStyle w:val="54"/>
            </w:pPr>
          </w:p>
        </w:tc>
        <w:tc>
          <w:tcPr>
            <w:tcW w:w="709" w:type="dxa"/>
            <w:vMerge w:val="continue"/>
            <w:tcBorders>
              <w:left w:val="single" w:color="auto" w:sz="4" w:space="0"/>
              <w:right w:val="single" w:color="auto" w:sz="4" w:space="0"/>
            </w:tcBorders>
            <w:vAlign w:val="center"/>
          </w:tcPr>
          <w:p>
            <w:pPr>
              <w:pStyle w:val="54"/>
            </w:pPr>
          </w:p>
        </w:tc>
        <w:tc>
          <w:tcPr>
            <w:tcW w:w="425"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1</w:t>
            </w:r>
            <w:r>
              <w:t>8</w:t>
            </w:r>
          </w:p>
        </w:tc>
        <w:tc>
          <w:tcPr>
            <w:tcW w:w="2693"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自然岸线保有率</w:t>
            </w:r>
          </w:p>
        </w:tc>
        <w:tc>
          <w:tcPr>
            <w:tcW w:w="558" w:type="dxa"/>
            <w:tcBorders>
              <w:top w:val="single" w:color="auto" w:sz="4" w:space="0"/>
              <w:left w:val="single" w:color="auto" w:sz="4" w:space="0"/>
              <w:bottom w:val="single" w:color="auto" w:sz="4" w:space="0"/>
              <w:right w:val="single" w:color="auto" w:sz="4" w:space="0"/>
            </w:tcBorders>
            <w:vAlign w:val="center"/>
          </w:tcPr>
          <w:p>
            <w:pPr>
              <w:pStyle w:val="54"/>
            </w:pPr>
            <w:r>
              <w:t>%</w:t>
            </w:r>
          </w:p>
        </w:tc>
        <w:tc>
          <w:tcPr>
            <w:tcW w:w="1710"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完成上级管控目标</w:t>
            </w:r>
          </w:p>
        </w:tc>
        <w:tc>
          <w:tcPr>
            <w:tcW w:w="772"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约束性</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79" w:type="dxa"/>
            <w:vMerge w:val="continue"/>
            <w:tcBorders>
              <w:left w:val="single" w:color="auto" w:sz="4" w:space="0"/>
              <w:bottom w:val="single" w:color="auto" w:sz="4" w:space="0"/>
              <w:right w:val="single" w:color="auto" w:sz="4" w:space="0"/>
            </w:tcBorders>
            <w:vAlign w:val="center"/>
          </w:tcPr>
          <w:p>
            <w:pPr>
              <w:pStyle w:val="54"/>
            </w:pPr>
          </w:p>
        </w:tc>
        <w:tc>
          <w:tcPr>
            <w:tcW w:w="709" w:type="dxa"/>
            <w:vMerge w:val="continue"/>
            <w:tcBorders>
              <w:left w:val="single" w:color="auto" w:sz="4" w:space="0"/>
              <w:bottom w:val="single" w:color="auto" w:sz="4" w:space="0"/>
              <w:right w:val="single" w:color="auto" w:sz="4" w:space="0"/>
            </w:tcBorders>
            <w:vAlign w:val="center"/>
          </w:tcPr>
          <w:p>
            <w:pPr>
              <w:pStyle w:val="54"/>
            </w:pPr>
          </w:p>
        </w:tc>
        <w:tc>
          <w:tcPr>
            <w:tcW w:w="425"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19</w:t>
            </w:r>
          </w:p>
        </w:tc>
        <w:tc>
          <w:tcPr>
            <w:tcW w:w="2693"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河湖岸线保护率</w:t>
            </w:r>
          </w:p>
        </w:tc>
        <w:tc>
          <w:tcPr>
            <w:tcW w:w="558"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w:t>
            </w:r>
          </w:p>
        </w:tc>
        <w:tc>
          <w:tcPr>
            <w:tcW w:w="1710"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完成上级管控目标</w:t>
            </w:r>
          </w:p>
        </w:tc>
        <w:tc>
          <w:tcPr>
            <w:tcW w:w="772"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参考性</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无上级管控目标</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完成上级管控目标</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完成上级管控目标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79" w:type="dxa"/>
            <w:vMerge w:val="restart"/>
            <w:tcBorders>
              <w:top w:val="single" w:color="auto" w:sz="4" w:space="0"/>
              <w:left w:val="single" w:color="auto" w:sz="4" w:space="0"/>
              <w:right w:val="single" w:color="auto" w:sz="4" w:space="0"/>
            </w:tcBorders>
            <w:vAlign w:val="center"/>
          </w:tcPr>
          <w:p>
            <w:pPr>
              <w:pStyle w:val="54"/>
            </w:pPr>
            <w:r>
              <w:rPr>
                <w:rFonts w:hint="eastAsia"/>
              </w:rPr>
              <w:t>生态经济</w:t>
            </w:r>
          </w:p>
        </w:tc>
        <w:tc>
          <w:tcPr>
            <w:tcW w:w="709" w:type="dxa"/>
            <w:vMerge w:val="restart"/>
            <w:tcBorders>
              <w:top w:val="single" w:color="auto" w:sz="4" w:space="0"/>
              <w:left w:val="single" w:color="auto" w:sz="4" w:space="0"/>
              <w:right w:val="single" w:color="auto" w:sz="4" w:space="0"/>
            </w:tcBorders>
            <w:vAlign w:val="center"/>
          </w:tcPr>
          <w:p>
            <w:pPr>
              <w:pStyle w:val="54"/>
            </w:pPr>
            <w:r>
              <w:rPr>
                <w:rFonts w:hint="eastAsia"/>
              </w:rPr>
              <w:t>（六）资源节约与利用</w:t>
            </w:r>
          </w:p>
        </w:tc>
        <w:tc>
          <w:tcPr>
            <w:tcW w:w="425"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20</w:t>
            </w:r>
          </w:p>
        </w:tc>
        <w:tc>
          <w:tcPr>
            <w:tcW w:w="2693"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单位地区生产总值能耗</w:t>
            </w:r>
          </w:p>
        </w:tc>
        <w:tc>
          <w:tcPr>
            <w:tcW w:w="558"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w:t>
            </w:r>
          </w:p>
        </w:tc>
        <w:tc>
          <w:tcPr>
            <w:tcW w:w="1710"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完成上级规定的目标任务；保持稳定或持续改善</w:t>
            </w:r>
          </w:p>
        </w:tc>
        <w:tc>
          <w:tcPr>
            <w:tcW w:w="772"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约束性</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单位GDP能耗同比增长0.9%</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完成上级规定的目标任务；保持稳定或持续改善</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完成上级规定的目标任务；保持稳定或持续改善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79" w:type="dxa"/>
            <w:vMerge w:val="continue"/>
            <w:tcBorders>
              <w:left w:val="single" w:color="auto" w:sz="4" w:space="0"/>
              <w:right w:val="single" w:color="auto" w:sz="4" w:space="0"/>
            </w:tcBorders>
            <w:vAlign w:val="center"/>
          </w:tcPr>
          <w:p>
            <w:pPr>
              <w:pStyle w:val="54"/>
            </w:pPr>
          </w:p>
        </w:tc>
        <w:tc>
          <w:tcPr>
            <w:tcW w:w="709" w:type="dxa"/>
            <w:vMerge w:val="continue"/>
            <w:tcBorders>
              <w:left w:val="single" w:color="auto" w:sz="4" w:space="0"/>
              <w:right w:val="single" w:color="auto" w:sz="4" w:space="0"/>
            </w:tcBorders>
            <w:vAlign w:val="center"/>
          </w:tcPr>
          <w:p>
            <w:pPr>
              <w:pStyle w:val="54"/>
            </w:pPr>
          </w:p>
        </w:tc>
        <w:tc>
          <w:tcPr>
            <w:tcW w:w="425"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21</w:t>
            </w:r>
          </w:p>
        </w:tc>
        <w:tc>
          <w:tcPr>
            <w:tcW w:w="2693"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单位地区生产总值用水量</w:t>
            </w:r>
          </w:p>
        </w:tc>
        <w:tc>
          <w:tcPr>
            <w:tcW w:w="558"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w:t>
            </w:r>
          </w:p>
        </w:tc>
        <w:tc>
          <w:tcPr>
            <w:tcW w:w="1710"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完成上级规定的目标任务；保持稳定或持续改善</w:t>
            </w:r>
          </w:p>
        </w:tc>
        <w:tc>
          <w:tcPr>
            <w:tcW w:w="772"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约束性</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t>14.7</w:t>
            </w:r>
            <w:r>
              <w:rPr>
                <w:rFonts w:hint="eastAsia"/>
              </w:rPr>
              <w:t>，完成上级规定的目标任务并持续改善</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完成上级规定的目标任务；保持稳定或持续改善</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完成上级规定的目标任务；保持稳定或持续改善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79" w:type="dxa"/>
            <w:vMerge w:val="continue"/>
            <w:tcBorders>
              <w:left w:val="single" w:color="auto" w:sz="4" w:space="0"/>
              <w:right w:val="single" w:color="auto" w:sz="4" w:space="0"/>
            </w:tcBorders>
            <w:vAlign w:val="center"/>
          </w:tcPr>
          <w:p>
            <w:pPr>
              <w:pStyle w:val="54"/>
            </w:pPr>
          </w:p>
        </w:tc>
        <w:tc>
          <w:tcPr>
            <w:tcW w:w="709" w:type="dxa"/>
            <w:vMerge w:val="continue"/>
            <w:tcBorders>
              <w:left w:val="single" w:color="auto" w:sz="4" w:space="0"/>
              <w:right w:val="single" w:color="auto" w:sz="4" w:space="0"/>
            </w:tcBorders>
            <w:vAlign w:val="center"/>
          </w:tcPr>
          <w:p>
            <w:pPr>
              <w:pStyle w:val="54"/>
            </w:pPr>
          </w:p>
        </w:tc>
        <w:tc>
          <w:tcPr>
            <w:tcW w:w="425"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22</w:t>
            </w:r>
          </w:p>
        </w:tc>
        <w:tc>
          <w:tcPr>
            <w:tcW w:w="2693"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单位国内生产总值建设用地使用面积下降率</w:t>
            </w:r>
          </w:p>
        </w:tc>
        <w:tc>
          <w:tcPr>
            <w:tcW w:w="558"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w:t>
            </w:r>
          </w:p>
        </w:tc>
        <w:tc>
          <w:tcPr>
            <w:tcW w:w="1710"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≥4.5</w:t>
            </w:r>
          </w:p>
        </w:tc>
        <w:tc>
          <w:tcPr>
            <w:tcW w:w="772"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参考性</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8</w:t>
            </w:r>
            <w:r>
              <w:t>.48</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≥4.5</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≥4.5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79" w:type="dxa"/>
            <w:vMerge w:val="continue"/>
            <w:tcBorders>
              <w:left w:val="single" w:color="auto" w:sz="4" w:space="0"/>
              <w:right w:val="single" w:color="auto" w:sz="4" w:space="0"/>
            </w:tcBorders>
            <w:vAlign w:val="center"/>
          </w:tcPr>
          <w:p>
            <w:pPr>
              <w:pStyle w:val="54"/>
            </w:pPr>
          </w:p>
        </w:tc>
        <w:tc>
          <w:tcPr>
            <w:tcW w:w="709" w:type="dxa"/>
            <w:vMerge w:val="continue"/>
            <w:tcBorders>
              <w:left w:val="single" w:color="auto" w:sz="4" w:space="0"/>
              <w:right w:val="single" w:color="auto" w:sz="4" w:space="0"/>
            </w:tcBorders>
            <w:vAlign w:val="center"/>
          </w:tcPr>
          <w:p>
            <w:pPr>
              <w:pStyle w:val="54"/>
            </w:pPr>
          </w:p>
        </w:tc>
        <w:tc>
          <w:tcPr>
            <w:tcW w:w="425"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2</w:t>
            </w:r>
            <w:r>
              <w:t>3</w:t>
            </w:r>
          </w:p>
        </w:tc>
        <w:tc>
          <w:tcPr>
            <w:tcW w:w="2693"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碳排放强度</w:t>
            </w:r>
          </w:p>
        </w:tc>
        <w:tc>
          <w:tcPr>
            <w:tcW w:w="558"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吨/万元</w:t>
            </w:r>
          </w:p>
        </w:tc>
        <w:tc>
          <w:tcPr>
            <w:tcW w:w="1710"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完成上级管控目标</w:t>
            </w:r>
          </w:p>
        </w:tc>
        <w:tc>
          <w:tcPr>
            <w:tcW w:w="772"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约束性</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79" w:type="dxa"/>
            <w:vMerge w:val="continue"/>
            <w:tcBorders>
              <w:left w:val="single" w:color="auto" w:sz="4" w:space="0"/>
              <w:right w:val="single" w:color="auto" w:sz="4" w:space="0"/>
            </w:tcBorders>
            <w:vAlign w:val="center"/>
          </w:tcPr>
          <w:p>
            <w:pPr>
              <w:pStyle w:val="54"/>
            </w:pPr>
          </w:p>
        </w:tc>
        <w:tc>
          <w:tcPr>
            <w:tcW w:w="709" w:type="dxa"/>
            <w:vMerge w:val="continue"/>
            <w:tcBorders>
              <w:left w:val="single" w:color="auto" w:sz="4" w:space="0"/>
              <w:bottom w:val="single" w:color="auto" w:sz="4" w:space="0"/>
              <w:right w:val="single" w:color="auto" w:sz="4" w:space="0"/>
            </w:tcBorders>
            <w:vAlign w:val="center"/>
          </w:tcPr>
          <w:p>
            <w:pPr>
              <w:pStyle w:val="54"/>
            </w:pPr>
          </w:p>
        </w:tc>
        <w:tc>
          <w:tcPr>
            <w:tcW w:w="425"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2</w:t>
            </w:r>
            <w:r>
              <w:t>4</w:t>
            </w:r>
          </w:p>
        </w:tc>
        <w:tc>
          <w:tcPr>
            <w:tcW w:w="2693"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应当实施强制性清洁生产企业通过</w:t>
            </w:r>
          </w:p>
          <w:p>
            <w:pPr>
              <w:pStyle w:val="54"/>
            </w:pPr>
            <w:r>
              <w:rPr>
                <w:rFonts w:hint="eastAsia"/>
              </w:rPr>
              <w:t>审核的比例</w:t>
            </w:r>
          </w:p>
        </w:tc>
        <w:tc>
          <w:tcPr>
            <w:tcW w:w="558" w:type="dxa"/>
            <w:tcBorders>
              <w:top w:val="single" w:color="auto" w:sz="4" w:space="0"/>
              <w:left w:val="single" w:color="auto" w:sz="4" w:space="0"/>
              <w:bottom w:val="single" w:color="auto" w:sz="4" w:space="0"/>
              <w:right w:val="single" w:color="auto" w:sz="4" w:space="0"/>
            </w:tcBorders>
            <w:vAlign w:val="center"/>
          </w:tcPr>
          <w:p>
            <w:pPr>
              <w:pStyle w:val="54"/>
            </w:pPr>
            <w:r>
              <w:t>%</w:t>
            </w:r>
          </w:p>
        </w:tc>
        <w:tc>
          <w:tcPr>
            <w:tcW w:w="1710"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完成年度审核计划</w:t>
            </w:r>
          </w:p>
        </w:tc>
        <w:tc>
          <w:tcPr>
            <w:tcW w:w="772"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参考性</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79" w:type="dxa"/>
            <w:vMerge w:val="continue"/>
            <w:tcBorders>
              <w:left w:val="single" w:color="auto" w:sz="4" w:space="0"/>
              <w:right w:val="single" w:color="auto" w:sz="4" w:space="0"/>
            </w:tcBorders>
            <w:vAlign w:val="center"/>
          </w:tcPr>
          <w:p>
            <w:pPr>
              <w:pStyle w:val="54"/>
            </w:pPr>
          </w:p>
        </w:tc>
        <w:tc>
          <w:tcPr>
            <w:tcW w:w="709" w:type="dxa"/>
            <w:vMerge w:val="restart"/>
            <w:tcBorders>
              <w:top w:val="single" w:color="auto" w:sz="4" w:space="0"/>
              <w:left w:val="single" w:color="auto" w:sz="4" w:space="0"/>
              <w:right w:val="single" w:color="auto" w:sz="4" w:space="0"/>
            </w:tcBorders>
            <w:vAlign w:val="center"/>
          </w:tcPr>
          <w:p>
            <w:pPr>
              <w:pStyle w:val="54"/>
            </w:pPr>
            <w:r>
              <w:rPr>
                <w:rFonts w:hint="eastAsia"/>
              </w:rPr>
              <w:t>（七）产业循环发展</w:t>
            </w:r>
          </w:p>
        </w:tc>
        <w:tc>
          <w:tcPr>
            <w:tcW w:w="425"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25</w:t>
            </w:r>
          </w:p>
        </w:tc>
        <w:tc>
          <w:tcPr>
            <w:tcW w:w="2693"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农业废弃物综合利用率</w:t>
            </w:r>
          </w:p>
          <w:p>
            <w:pPr>
              <w:pStyle w:val="54"/>
            </w:pPr>
            <w:r>
              <w:rPr>
                <w:rFonts w:hint="eastAsia"/>
              </w:rPr>
              <w:t>秸秆综合利用率</w:t>
            </w:r>
          </w:p>
          <w:p>
            <w:pPr>
              <w:pStyle w:val="54"/>
            </w:pPr>
            <w:r>
              <w:rPr>
                <w:rFonts w:hint="eastAsia"/>
              </w:rPr>
              <w:t>②畜禽粪污综合利用率</w:t>
            </w:r>
          </w:p>
          <w:p>
            <w:pPr>
              <w:pStyle w:val="54"/>
            </w:pPr>
            <w:r>
              <w:rPr>
                <w:rFonts w:hint="eastAsia"/>
              </w:rPr>
              <w:t>③农膜回收利用率</w:t>
            </w:r>
          </w:p>
        </w:tc>
        <w:tc>
          <w:tcPr>
            <w:tcW w:w="558" w:type="dxa"/>
            <w:tcBorders>
              <w:top w:val="single" w:color="auto" w:sz="4" w:space="0"/>
              <w:left w:val="single" w:color="auto" w:sz="4" w:space="0"/>
              <w:bottom w:val="single" w:color="auto" w:sz="4" w:space="0"/>
              <w:right w:val="single" w:color="auto" w:sz="4" w:space="0"/>
            </w:tcBorders>
            <w:vAlign w:val="center"/>
          </w:tcPr>
          <w:p>
            <w:pPr>
              <w:pStyle w:val="54"/>
            </w:pPr>
          </w:p>
          <w:p>
            <w:pPr>
              <w:pStyle w:val="54"/>
            </w:pPr>
            <w:r>
              <w:rPr>
                <w:rFonts w:hint="eastAsia"/>
              </w:rPr>
              <w:t>%</w:t>
            </w:r>
          </w:p>
          <w:p>
            <w:pPr>
              <w:pStyle w:val="54"/>
            </w:pPr>
          </w:p>
        </w:tc>
        <w:tc>
          <w:tcPr>
            <w:tcW w:w="1710" w:type="dxa"/>
            <w:tcBorders>
              <w:top w:val="single" w:color="auto" w:sz="4" w:space="0"/>
              <w:left w:val="single" w:color="auto" w:sz="4" w:space="0"/>
              <w:bottom w:val="single" w:color="auto" w:sz="4" w:space="0"/>
              <w:right w:val="single" w:color="auto" w:sz="4" w:space="0"/>
            </w:tcBorders>
            <w:vAlign w:val="center"/>
          </w:tcPr>
          <w:p>
            <w:pPr>
              <w:pStyle w:val="54"/>
            </w:pPr>
          </w:p>
          <w:p>
            <w:pPr>
              <w:pStyle w:val="54"/>
            </w:pPr>
            <w:r>
              <w:rPr>
                <w:rFonts w:hint="eastAsia"/>
              </w:rPr>
              <w:t>≥90</w:t>
            </w:r>
          </w:p>
          <w:p>
            <w:pPr>
              <w:pStyle w:val="54"/>
            </w:pPr>
            <w:r>
              <w:rPr>
                <w:rFonts w:hint="eastAsia"/>
              </w:rPr>
              <w:t>≥75</w:t>
            </w:r>
          </w:p>
          <w:p>
            <w:pPr>
              <w:pStyle w:val="54"/>
            </w:pPr>
            <w:r>
              <w:rPr>
                <w:rFonts w:hint="eastAsia"/>
              </w:rPr>
              <w:t>≥80</w:t>
            </w:r>
          </w:p>
        </w:tc>
        <w:tc>
          <w:tcPr>
            <w:tcW w:w="772"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参考性</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①</w:t>
            </w:r>
            <w:r>
              <w:t>95.3</w:t>
            </w:r>
          </w:p>
          <w:p>
            <w:pPr>
              <w:pStyle w:val="54"/>
              <w:jc w:val="center"/>
            </w:pPr>
            <w:r>
              <w:rPr>
                <w:rFonts w:hint="eastAsia"/>
              </w:rPr>
              <w:t>②</w:t>
            </w:r>
            <w:r>
              <w:t>99</w:t>
            </w:r>
          </w:p>
          <w:p>
            <w:pPr>
              <w:pStyle w:val="54"/>
              <w:jc w:val="center"/>
            </w:pPr>
            <w:r>
              <w:rPr>
                <w:rFonts w:hint="eastAsia"/>
              </w:rPr>
              <w:t>③</w:t>
            </w:r>
            <w:r>
              <w:t>91</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①持续提高</w:t>
            </w:r>
          </w:p>
          <w:p>
            <w:pPr>
              <w:pStyle w:val="54"/>
              <w:jc w:val="center"/>
            </w:pPr>
            <w:r>
              <w:rPr>
                <w:rFonts w:hint="eastAsia"/>
              </w:rPr>
              <w:t>②持续提高</w:t>
            </w:r>
          </w:p>
          <w:p>
            <w:pPr>
              <w:pStyle w:val="54"/>
              <w:jc w:val="center"/>
            </w:pPr>
            <w:r>
              <w:rPr>
                <w:rFonts w:hint="eastAsia"/>
              </w:rPr>
              <w:t>③9</w:t>
            </w:r>
            <w:r>
              <w:t>2</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①持续提高</w:t>
            </w:r>
          </w:p>
          <w:p>
            <w:pPr>
              <w:pStyle w:val="54"/>
              <w:jc w:val="center"/>
            </w:pPr>
            <w:r>
              <w:rPr>
                <w:rFonts w:hint="eastAsia"/>
              </w:rPr>
              <w:t>②持续提高</w:t>
            </w:r>
          </w:p>
          <w:p>
            <w:pPr>
              <w:pStyle w:val="54"/>
              <w:jc w:val="center"/>
            </w:pPr>
            <w:r>
              <w:rPr>
                <w:rFonts w:hint="eastAsia"/>
              </w:rPr>
              <w:t>③</w:t>
            </w:r>
            <w:r>
              <w:t>95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79" w:type="dxa"/>
            <w:vMerge w:val="continue"/>
            <w:tcBorders>
              <w:left w:val="single" w:color="auto" w:sz="4" w:space="0"/>
              <w:bottom w:val="single" w:color="auto" w:sz="4" w:space="0"/>
              <w:right w:val="single" w:color="auto" w:sz="4" w:space="0"/>
            </w:tcBorders>
            <w:vAlign w:val="center"/>
          </w:tcPr>
          <w:p>
            <w:pPr>
              <w:pStyle w:val="54"/>
            </w:pPr>
          </w:p>
        </w:tc>
        <w:tc>
          <w:tcPr>
            <w:tcW w:w="709" w:type="dxa"/>
            <w:vMerge w:val="continue"/>
            <w:tcBorders>
              <w:left w:val="single" w:color="auto" w:sz="4" w:space="0"/>
              <w:bottom w:val="single" w:color="auto" w:sz="4" w:space="0"/>
              <w:right w:val="single" w:color="auto" w:sz="4" w:space="0"/>
            </w:tcBorders>
            <w:vAlign w:val="center"/>
          </w:tcPr>
          <w:p>
            <w:pPr>
              <w:pStyle w:val="54"/>
            </w:pPr>
          </w:p>
        </w:tc>
        <w:tc>
          <w:tcPr>
            <w:tcW w:w="425"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26</w:t>
            </w:r>
          </w:p>
        </w:tc>
        <w:tc>
          <w:tcPr>
            <w:tcW w:w="2693"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一般工业固体废物综合利用率</w:t>
            </w:r>
          </w:p>
        </w:tc>
        <w:tc>
          <w:tcPr>
            <w:tcW w:w="558"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w:t>
            </w:r>
          </w:p>
        </w:tc>
        <w:tc>
          <w:tcPr>
            <w:tcW w:w="1710"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≥80</w:t>
            </w:r>
          </w:p>
        </w:tc>
        <w:tc>
          <w:tcPr>
            <w:tcW w:w="772"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参考性</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99.</w:t>
            </w:r>
            <w:r>
              <w:t>4</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持续提高</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t>99.8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79" w:type="dxa"/>
            <w:vMerge w:val="restart"/>
            <w:tcBorders>
              <w:top w:val="single" w:color="auto" w:sz="4" w:space="0"/>
              <w:left w:val="single" w:color="auto" w:sz="4" w:space="0"/>
              <w:right w:val="single" w:color="auto" w:sz="4" w:space="0"/>
            </w:tcBorders>
            <w:vAlign w:val="center"/>
          </w:tcPr>
          <w:p>
            <w:pPr>
              <w:pStyle w:val="54"/>
            </w:pPr>
            <w:r>
              <w:rPr>
                <w:rFonts w:hint="eastAsia"/>
              </w:rPr>
              <w:t>生态生活</w:t>
            </w:r>
          </w:p>
        </w:tc>
        <w:tc>
          <w:tcPr>
            <w:tcW w:w="709" w:type="dxa"/>
            <w:vMerge w:val="restart"/>
            <w:tcBorders>
              <w:top w:val="single" w:color="auto" w:sz="4" w:space="0"/>
              <w:left w:val="single" w:color="auto" w:sz="4" w:space="0"/>
              <w:right w:val="single" w:color="auto" w:sz="4" w:space="0"/>
            </w:tcBorders>
            <w:vAlign w:val="center"/>
          </w:tcPr>
          <w:p>
            <w:pPr>
              <w:pStyle w:val="54"/>
            </w:pPr>
            <w:r>
              <w:rPr>
                <w:rFonts w:hint="eastAsia"/>
              </w:rPr>
              <w:t>（八）人居环境改善</w:t>
            </w:r>
          </w:p>
        </w:tc>
        <w:tc>
          <w:tcPr>
            <w:tcW w:w="425"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27</w:t>
            </w:r>
          </w:p>
        </w:tc>
        <w:tc>
          <w:tcPr>
            <w:tcW w:w="2693"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集中式饮用水水源地水质优良比例</w:t>
            </w:r>
          </w:p>
        </w:tc>
        <w:tc>
          <w:tcPr>
            <w:tcW w:w="558"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w:t>
            </w:r>
          </w:p>
        </w:tc>
        <w:tc>
          <w:tcPr>
            <w:tcW w:w="1710"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100</w:t>
            </w:r>
          </w:p>
        </w:tc>
        <w:tc>
          <w:tcPr>
            <w:tcW w:w="772"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约束性</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100</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100</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79" w:type="dxa"/>
            <w:vMerge w:val="continue"/>
            <w:tcBorders>
              <w:left w:val="single" w:color="auto" w:sz="4" w:space="0"/>
              <w:right w:val="single" w:color="auto" w:sz="4" w:space="0"/>
            </w:tcBorders>
            <w:vAlign w:val="center"/>
          </w:tcPr>
          <w:p>
            <w:pPr>
              <w:pStyle w:val="54"/>
            </w:pPr>
          </w:p>
        </w:tc>
        <w:tc>
          <w:tcPr>
            <w:tcW w:w="709" w:type="dxa"/>
            <w:vMerge w:val="continue"/>
            <w:tcBorders>
              <w:left w:val="single" w:color="auto" w:sz="4" w:space="0"/>
              <w:right w:val="single" w:color="auto" w:sz="4" w:space="0"/>
            </w:tcBorders>
            <w:vAlign w:val="center"/>
          </w:tcPr>
          <w:p>
            <w:pPr>
              <w:pStyle w:val="54"/>
            </w:pPr>
          </w:p>
        </w:tc>
        <w:tc>
          <w:tcPr>
            <w:tcW w:w="425"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28</w:t>
            </w:r>
          </w:p>
        </w:tc>
        <w:tc>
          <w:tcPr>
            <w:tcW w:w="2693"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村镇饮用水卫生合格率</w:t>
            </w:r>
          </w:p>
        </w:tc>
        <w:tc>
          <w:tcPr>
            <w:tcW w:w="558"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w:t>
            </w:r>
          </w:p>
        </w:tc>
        <w:tc>
          <w:tcPr>
            <w:tcW w:w="1710"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100</w:t>
            </w:r>
          </w:p>
        </w:tc>
        <w:tc>
          <w:tcPr>
            <w:tcW w:w="772"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约束性</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t>94</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100</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79" w:type="dxa"/>
            <w:vMerge w:val="continue"/>
            <w:tcBorders>
              <w:left w:val="single" w:color="auto" w:sz="4" w:space="0"/>
              <w:right w:val="single" w:color="auto" w:sz="4" w:space="0"/>
            </w:tcBorders>
            <w:vAlign w:val="center"/>
          </w:tcPr>
          <w:p>
            <w:pPr>
              <w:pStyle w:val="54"/>
            </w:pPr>
          </w:p>
        </w:tc>
        <w:tc>
          <w:tcPr>
            <w:tcW w:w="709" w:type="dxa"/>
            <w:vMerge w:val="continue"/>
            <w:tcBorders>
              <w:left w:val="single" w:color="auto" w:sz="4" w:space="0"/>
              <w:right w:val="single" w:color="auto" w:sz="4" w:space="0"/>
            </w:tcBorders>
            <w:vAlign w:val="center"/>
          </w:tcPr>
          <w:p>
            <w:pPr>
              <w:pStyle w:val="54"/>
            </w:pPr>
          </w:p>
        </w:tc>
        <w:tc>
          <w:tcPr>
            <w:tcW w:w="425"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29</w:t>
            </w:r>
          </w:p>
        </w:tc>
        <w:tc>
          <w:tcPr>
            <w:tcW w:w="2693"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城镇污水处理率</w:t>
            </w:r>
          </w:p>
        </w:tc>
        <w:tc>
          <w:tcPr>
            <w:tcW w:w="558"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w:t>
            </w:r>
          </w:p>
        </w:tc>
        <w:tc>
          <w:tcPr>
            <w:tcW w:w="1710"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县（区）≥85</w:t>
            </w:r>
          </w:p>
        </w:tc>
        <w:tc>
          <w:tcPr>
            <w:tcW w:w="772"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约束性</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t>96.29</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9</w:t>
            </w:r>
            <w:r>
              <w:t>7</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持续提高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79" w:type="dxa"/>
            <w:vMerge w:val="continue"/>
            <w:tcBorders>
              <w:left w:val="single" w:color="auto" w:sz="4" w:space="0"/>
              <w:right w:val="single" w:color="auto" w:sz="4" w:space="0"/>
            </w:tcBorders>
            <w:vAlign w:val="center"/>
          </w:tcPr>
          <w:p>
            <w:pPr>
              <w:pStyle w:val="54"/>
            </w:pPr>
          </w:p>
        </w:tc>
        <w:tc>
          <w:tcPr>
            <w:tcW w:w="709" w:type="dxa"/>
            <w:vMerge w:val="continue"/>
            <w:tcBorders>
              <w:left w:val="single" w:color="auto" w:sz="4" w:space="0"/>
              <w:right w:val="single" w:color="auto" w:sz="4" w:space="0"/>
            </w:tcBorders>
            <w:vAlign w:val="center"/>
          </w:tcPr>
          <w:p>
            <w:pPr>
              <w:pStyle w:val="54"/>
            </w:pPr>
          </w:p>
        </w:tc>
        <w:tc>
          <w:tcPr>
            <w:tcW w:w="425"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30</w:t>
            </w:r>
          </w:p>
        </w:tc>
        <w:tc>
          <w:tcPr>
            <w:tcW w:w="2693"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城镇生活垃圾无害化处理率</w:t>
            </w:r>
          </w:p>
        </w:tc>
        <w:tc>
          <w:tcPr>
            <w:tcW w:w="558"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w:t>
            </w:r>
          </w:p>
        </w:tc>
        <w:tc>
          <w:tcPr>
            <w:tcW w:w="1710"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县（区）≥80</w:t>
            </w:r>
          </w:p>
        </w:tc>
        <w:tc>
          <w:tcPr>
            <w:tcW w:w="772"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约束性</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100</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100</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79" w:type="dxa"/>
            <w:vMerge w:val="continue"/>
            <w:tcBorders>
              <w:left w:val="single" w:color="auto" w:sz="4" w:space="0"/>
              <w:right w:val="single" w:color="auto" w:sz="4" w:space="0"/>
            </w:tcBorders>
            <w:vAlign w:val="center"/>
          </w:tcPr>
          <w:p>
            <w:pPr>
              <w:pStyle w:val="54"/>
            </w:pPr>
          </w:p>
        </w:tc>
        <w:tc>
          <w:tcPr>
            <w:tcW w:w="709" w:type="dxa"/>
            <w:vMerge w:val="continue"/>
            <w:tcBorders>
              <w:left w:val="single" w:color="auto" w:sz="4" w:space="0"/>
              <w:right w:val="single" w:color="auto" w:sz="4" w:space="0"/>
            </w:tcBorders>
            <w:vAlign w:val="center"/>
          </w:tcPr>
          <w:p>
            <w:pPr>
              <w:pStyle w:val="54"/>
            </w:pPr>
          </w:p>
        </w:tc>
        <w:tc>
          <w:tcPr>
            <w:tcW w:w="425"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3</w:t>
            </w:r>
            <w:r>
              <w:t>1</w:t>
            </w:r>
          </w:p>
        </w:tc>
        <w:tc>
          <w:tcPr>
            <w:tcW w:w="2693"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城镇人均公园绿地面积</w:t>
            </w:r>
          </w:p>
        </w:tc>
        <w:tc>
          <w:tcPr>
            <w:tcW w:w="558"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平方米</w:t>
            </w:r>
          </w:p>
          <w:p>
            <w:pPr>
              <w:pStyle w:val="54"/>
            </w:pPr>
            <w:r>
              <w:rPr>
                <w:rFonts w:hint="eastAsia"/>
              </w:rPr>
              <w:t>/人</w:t>
            </w:r>
          </w:p>
        </w:tc>
        <w:tc>
          <w:tcPr>
            <w:tcW w:w="1710"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≥15</w:t>
            </w:r>
          </w:p>
        </w:tc>
        <w:tc>
          <w:tcPr>
            <w:tcW w:w="772"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参考性</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79" w:type="dxa"/>
            <w:vMerge w:val="continue"/>
            <w:tcBorders>
              <w:left w:val="single" w:color="auto" w:sz="4" w:space="0"/>
              <w:right w:val="single" w:color="auto" w:sz="4" w:space="0"/>
            </w:tcBorders>
            <w:vAlign w:val="center"/>
          </w:tcPr>
          <w:p>
            <w:pPr>
              <w:pStyle w:val="54"/>
            </w:pPr>
          </w:p>
        </w:tc>
        <w:tc>
          <w:tcPr>
            <w:tcW w:w="709" w:type="dxa"/>
            <w:vMerge w:val="continue"/>
            <w:tcBorders>
              <w:left w:val="single" w:color="auto" w:sz="4" w:space="0"/>
              <w:bottom w:val="single" w:color="auto" w:sz="4" w:space="0"/>
              <w:right w:val="single" w:color="auto" w:sz="4" w:space="0"/>
            </w:tcBorders>
            <w:vAlign w:val="center"/>
          </w:tcPr>
          <w:p>
            <w:pPr>
              <w:pStyle w:val="54"/>
            </w:pPr>
          </w:p>
        </w:tc>
        <w:tc>
          <w:tcPr>
            <w:tcW w:w="425"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32</w:t>
            </w:r>
          </w:p>
        </w:tc>
        <w:tc>
          <w:tcPr>
            <w:tcW w:w="2693"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农村无害化卫生厕所普及率</w:t>
            </w:r>
          </w:p>
        </w:tc>
        <w:tc>
          <w:tcPr>
            <w:tcW w:w="558"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w:t>
            </w:r>
          </w:p>
        </w:tc>
        <w:tc>
          <w:tcPr>
            <w:tcW w:w="1710"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完成上级规定的目标任务</w:t>
            </w:r>
          </w:p>
        </w:tc>
        <w:tc>
          <w:tcPr>
            <w:tcW w:w="772"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约束性</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100</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100</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79" w:type="dxa"/>
            <w:vMerge w:val="continue"/>
            <w:tcBorders>
              <w:left w:val="single" w:color="auto" w:sz="4" w:space="0"/>
              <w:right w:val="single" w:color="auto" w:sz="4" w:space="0"/>
            </w:tcBorders>
            <w:vAlign w:val="center"/>
          </w:tcPr>
          <w:p>
            <w:pPr>
              <w:pStyle w:val="54"/>
            </w:pPr>
          </w:p>
        </w:tc>
        <w:tc>
          <w:tcPr>
            <w:tcW w:w="709" w:type="dxa"/>
            <w:vMerge w:val="restart"/>
            <w:tcBorders>
              <w:top w:val="single" w:color="auto" w:sz="4" w:space="0"/>
              <w:left w:val="single" w:color="auto" w:sz="4" w:space="0"/>
              <w:right w:val="single" w:color="auto" w:sz="4" w:space="0"/>
            </w:tcBorders>
            <w:vAlign w:val="center"/>
          </w:tcPr>
          <w:p>
            <w:pPr>
              <w:pStyle w:val="54"/>
            </w:pPr>
            <w:r>
              <w:rPr>
                <w:rFonts w:hint="eastAsia"/>
              </w:rPr>
              <w:t>（九）生活方式绿色化</w:t>
            </w:r>
          </w:p>
        </w:tc>
        <w:tc>
          <w:tcPr>
            <w:tcW w:w="425"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33</w:t>
            </w:r>
          </w:p>
        </w:tc>
        <w:tc>
          <w:tcPr>
            <w:tcW w:w="2693"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城镇新建绿色建筑比例</w:t>
            </w:r>
          </w:p>
        </w:tc>
        <w:tc>
          <w:tcPr>
            <w:tcW w:w="558"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w:t>
            </w:r>
          </w:p>
        </w:tc>
        <w:tc>
          <w:tcPr>
            <w:tcW w:w="1710"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≥50</w:t>
            </w:r>
          </w:p>
        </w:tc>
        <w:tc>
          <w:tcPr>
            <w:tcW w:w="772"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参考性</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t>86.5</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持续提高</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持续提高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79" w:type="dxa"/>
            <w:vMerge w:val="continue"/>
            <w:tcBorders>
              <w:left w:val="single" w:color="auto" w:sz="4" w:space="0"/>
              <w:right w:val="single" w:color="auto" w:sz="4" w:space="0"/>
            </w:tcBorders>
            <w:vAlign w:val="center"/>
          </w:tcPr>
          <w:p>
            <w:pPr>
              <w:pStyle w:val="54"/>
            </w:pPr>
          </w:p>
        </w:tc>
        <w:tc>
          <w:tcPr>
            <w:tcW w:w="709" w:type="dxa"/>
            <w:vMerge w:val="continue"/>
            <w:tcBorders>
              <w:left w:val="single" w:color="auto" w:sz="4" w:space="0"/>
              <w:right w:val="single" w:color="auto" w:sz="4" w:space="0"/>
            </w:tcBorders>
            <w:vAlign w:val="center"/>
          </w:tcPr>
          <w:p>
            <w:pPr>
              <w:pStyle w:val="54"/>
            </w:pPr>
          </w:p>
        </w:tc>
        <w:tc>
          <w:tcPr>
            <w:tcW w:w="425"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3</w:t>
            </w:r>
            <w:r>
              <w:t>4</w:t>
            </w:r>
          </w:p>
        </w:tc>
        <w:tc>
          <w:tcPr>
            <w:tcW w:w="2693"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公共交通出行分担率</w:t>
            </w:r>
          </w:p>
        </w:tc>
        <w:tc>
          <w:tcPr>
            <w:tcW w:w="558" w:type="dxa"/>
            <w:tcBorders>
              <w:top w:val="single" w:color="auto" w:sz="4" w:space="0"/>
              <w:left w:val="single" w:color="auto" w:sz="4" w:space="0"/>
              <w:bottom w:val="single" w:color="auto" w:sz="4" w:space="0"/>
              <w:right w:val="single" w:color="auto" w:sz="4" w:space="0"/>
            </w:tcBorders>
            <w:vAlign w:val="center"/>
          </w:tcPr>
          <w:p>
            <w:pPr>
              <w:pStyle w:val="54"/>
            </w:pPr>
            <w:r>
              <w:t>%</w:t>
            </w:r>
          </w:p>
        </w:tc>
        <w:tc>
          <w:tcPr>
            <w:tcW w:w="1710"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超、特大城市≥70</w:t>
            </w:r>
          </w:p>
          <w:p>
            <w:pPr>
              <w:pStyle w:val="54"/>
            </w:pPr>
            <w:r>
              <w:rPr>
                <w:rFonts w:hint="eastAsia"/>
              </w:rPr>
              <w:t>大城市≥60</w:t>
            </w:r>
          </w:p>
          <w:p>
            <w:pPr>
              <w:pStyle w:val="54"/>
            </w:pPr>
            <w:r>
              <w:rPr>
                <w:rFonts w:hint="eastAsia"/>
              </w:rPr>
              <w:t>中小城市≥50</w:t>
            </w:r>
          </w:p>
        </w:tc>
        <w:tc>
          <w:tcPr>
            <w:tcW w:w="772"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参考性</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037" w:hRule="atLeast"/>
          <w:jc w:val="center"/>
        </w:trPr>
        <w:tc>
          <w:tcPr>
            <w:tcW w:w="279" w:type="dxa"/>
            <w:vMerge w:val="continue"/>
            <w:tcBorders>
              <w:left w:val="single" w:color="auto" w:sz="4" w:space="0"/>
              <w:right w:val="single" w:color="auto" w:sz="4" w:space="0"/>
            </w:tcBorders>
            <w:vAlign w:val="center"/>
          </w:tcPr>
          <w:p>
            <w:pPr>
              <w:pStyle w:val="54"/>
            </w:pPr>
          </w:p>
        </w:tc>
        <w:tc>
          <w:tcPr>
            <w:tcW w:w="709" w:type="dxa"/>
            <w:vMerge w:val="continue"/>
            <w:tcBorders>
              <w:left w:val="single" w:color="auto" w:sz="4" w:space="0"/>
              <w:right w:val="single" w:color="auto" w:sz="4" w:space="0"/>
            </w:tcBorders>
            <w:vAlign w:val="center"/>
          </w:tcPr>
          <w:p>
            <w:pPr>
              <w:pStyle w:val="54"/>
            </w:pPr>
          </w:p>
        </w:tc>
        <w:tc>
          <w:tcPr>
            <w:tcW w:w="425"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35</w:t>
            </w:r>
          </w:p>
        </w:tc>
        <w:tc>
          <w:tcPr>
            <w:tcW w:w="2693"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生活废弃物综合利用</w:t>
            </w:r>
          </w:p>
          <w:p>
            <w:pPr>
              <w:pStyle w:val="54"/>
            </w:pPr>
            <w:r>
              <w:rPr>
                <w:rFonts w:hint="eastAsia"/>
              </w:rPr>
              <w:t>城镇生活垃圾分类减量化行动</w:t>
            </w:r>
          </w:p>
          <w:p>
            <w:pPr>
              <w:pStyle w:val="54"/>
            </w:pPr>
            <w:r>
              <w:rPr>
                <w:rFonts w:hint="eastAsia"/>
              </w:rPr>
              <w:t>农村生活垃圾集中收集储运</w:t>
            </w:r>
          </w:p>
        </w:tc>
        <w:tc>
          <w:tcPr>
            <w:tcW w:w="558"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w:t>
            </w:r>
          </w:p>
        </w:tc>
        <w:tc>
          <w:tcPr>
            <w:tcW w:w="1710"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实施</w:t>
            </w:r>
          </w:p>
        </w:tc>
        <w:tc>
          <w:tcPr>
            <w:tcW w:w="772"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参考性</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实施</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实施</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实施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01" w:hRule="atLeast"/>
          <w:jc w:val="center"/>
        </w:trPr>
        <w:tc>
          <w:tcPr>
            <w:tcW w:w="279" w:type="dxa"/>
            <w:vMerge w:val="continue"/>
            <w:tcBorders>
              <w:left w:val="single" w:color="auto" w:sz="4" w:space="0"/>
              <w:right w:val="single" w:color="auto" w:sz="4" w:space="0"/>
            </w:tcBorders>
            <w:vAlign w:val="center"/>
          </w:tcPr>
          <w:p>
            <w:pPr>
              <w:pStyle w:val="54"/>
            </w:pPr>
          </w:p>
        </w:tc>
        <w:tc>
          <w:tcPr>
            <w:tcW w:w="709" w:type="dxa"/>
            <w:vMerge w:val="continue"/>
            <w:tcBorders>
              <w:left w:val="single" w:color="auto" w:sz="4" w:space="0"/>
              <w:right w:val="single" w:color="auto" w:sz="4" w:space="0"/>
            </w:tcBorders>
            <w:vAlign w:val="center"/>
          </w:tcPr>
          <w:p>
            <w:pPr>
              <w:pStyle w:val="54"/>
            </w:pPr>
          </w:p>
        </w:tc>
        <w:tc>
          <w:tcPr>
            <w:tcW w:w="425"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3</w:t>
            </w:r>
            <w:r>
              <w:t>6</w:t>
            </w:r>
          </w:p>
        </w:tc>
        <w:tc>
          <w:tcPr>
            <w:tcW w:w="2693"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绿色产品市场占有率</w:t>
            </w:r>
          </w:p>
          <w:p>
            <w:pPr>
              <w:pStyle w:val="54"/>
            </w:pPr>
            <w:r>
              <w:rPr>
                <w:rFonts w:hint="eastAsia"/>
              </w:rPr>
              <w:t>节能家电市场占有率</w:t>
            </w:r>
          </w:p>
          <w:p>
            <w:pPr>
              <w:pStyle w:val="54"/>
            </w:pPr>
            <w:r>
              <w:rPr>
                <w:rFonts w:hint="eastAsia"/>
              </w:rPr>
              <w:t>在售用水器具中节水型器具占比一次性消费品人均使用量</w:t>
            </w:r>
          </w:p>
        </w:tc>
        <w:tc>
          <w:tcPr>
            <w:tcW w:w="558" w:type="dxa"/>
            <w:tcBorders>
              <w:top w:val="single" w:color="auto" w:sz="4" w:space="0"/>
              <w:left w:val="single" w:color="auto" w:sz="4" w:space="0"/>
              <w:bottom w:val="single" w:color="auto" w:sz="4" w:space="0"/>
              <w:right w:val="single" w:color="auto" w:sz="4" w:space="0"/>
            </w:tcBorders>
            <w:vAlign w:val="center"/>
          </w:tcPr>
          <w:p>
            <w:pPr>
              <w:pStyle w:val="54"/>
            </w:pPr>
            <w:r>
              <w:t>%</w:t>
            </w:r>
          </w:p>
          <w:p>
            <w:pPr>
              <w:pStyle w:val="54"/>
            </w:pPr>
            <w:r>
              <w:t>%</w:t>
            </w:r>
          </w:p>
          <w:p>
            <w:pPr>
              <w:pStyle w:val="54"/>
            </w:pPr>
            <w:r>
              <w:rPr>
                <w:rFonts w:hint="eastAsia"/>
              </w:rPr>
              <w:t>千克</w:t>
            </w:r>
          </w:p>
        </w:tc>
        <w:tc>
          <w:tcPr>
            <w:tcW w:w="1710"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≥50</w:t>
            </w:r>
          </w:p>
          <w:p>
            <w:pPr>
              <w:pStyle w:val="54"/>
            </w:pPr>
            <w:r>
              <w:t>100</w:t>
            </w:r>
          </w:p>
          <w:p>
            <w:pPr>
              <w:pStyle w:val="54"/>
            </w:pPr>
            <w:r>
              <w:rPr>
                <w:rFonts w:hint="eastAsia"/>
              </w:rPr>
              <w:t>逐步下降</w:t>
            </w:r>
          </w:p>
        </w:tc>
        <w:tc>
          <w:tcPr>
            <w:tcW w:w="772"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参考性</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79" w:type="dxa"/>
            <w:vMerge w:val="continue"/>
            <w:tcBorders>
              <w:left w:val="single" w:color="auto" w:sz="4" w:space="0"/>
              <w:bottom w:val="single" w:color="auto" w:sz="4" w:space="0"/>
              <w:right w:val="single" w:color="auto" w:sz="4" w:space="0"/>
            </w:tcBorders>
            <w:vAlign w:val="center"/>
          </w:tcPr>
          <w:p>
            <w:pPr>
              <w:pStyle w:val="54"/>
            </w:pPr>
          </w:p>
        </w:tc>
        <w:tc>
          <w:tcPr>
            <w:tcW w:w="709" w:type="dxa"/>
            <w:vMerge w:val="continue"/>
            <w:tcBorders>
              <w:left w:val="single" w:color="auto" w:sz="4" w:space="0"/>
              <w:bottom w:val="single" w:color="auto" w:sz="4" w:space="0"/>
              <w:right w:val="single" w:color="auto" w:sz="4" w:space="0"/>
            </w:tcBorders>
            <w:vAlign w:val="center"/>
          </w:tcPr>
          <w:p>
            <w:pPr>
              <w:pStyle w:val="54"/>
            </w:pPr>
          </w:p>
        </w:tc>
        <w:tc>
          <w:tcPr>
            <w:tcW w:w="425"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37</w:t>
            </w:r>
          </w:p>
        </w:tc>
        <w:tc>
          <w:tcPr>
            <w:tcW w:w="2693"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政府绿色采购比例</w:t>
            </w:r>
          </w:p>
        </w:tc>
        <w:tc>
          <w:tcPr>
            <w:tcW w:w="558"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w:t>
            </w:r>
          </w:p>
        </w:tc>
        <w:tc>
          <w:tcPr>
            <w:tcW w:w="1710"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≥80</w:t>
            </w:r>
          </w:p>
        </w:tc>
        <w:tc>
          <w:tcPr>
            <w:tcW w:w="772"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约束性</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9</w:t>
            </w:r>
            <w:r>
              <w:t>0</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持续提高</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持续提高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75" w:hRule="atLeast"/>
          <w:jc w:val="center"/>
        </w:trPr>
        <w:tc>
          <w:tcPr>
            <w:tcW w:w="279" w:type="dxa"/>
            <w:vMerge w:val="restart"/>
            <w:tcBorders>
              <w:top w:val="single" w:color="auto" w:sz="4" w:space="0"/>
              <w:left w:val="single" w:color="auto" w:sz="4" w:space="0"/>
              <w:right w:val="single" w:color="auto" w:sz="4" w:space="0"/>
            </w:tcBorders>
            <w:vAlign w:val="center"/>
          </w:tcPr>
          <w:p>
            <w:pPr>
              <w:pStyle w:val="54"/>
            </w:pPr>
            <w:r>
              <w:rPr>
                <w:rFonts w:hint="eastAsia"/>
              </w:rPr>
              <w:t>生态文化</w:t>
            </w:r>
          </w:p>
        </w:tc>
        <w:tc>
          <w:tcPr>
            <w:tcW w:w="709" w:type="dxa"/>
            <w:vMerge w:val="restart"/>
            <w:tcBorders>
              <w:top w:val="single" w:color="auto" w:sz="4" w:space="0"/>
              <w:left w:val="single" w:color="auto" w:sz="4" w:space="0"/>
              <w:right w:val="single" w:color="auto" w:sz="4" w:space="0"/>
            </w:tcBorders>
            <w:vAlign w:val="center"/>
          </w:tcPr>
          <w:p>
            <w:pPr>
              <w:pStyle w:val="54"/>
            </w:pPr>
            <w:r>
              <w:rPr>
                <w:rFonts w:hint="eastAsia"/>
              </w:rPr>
              <w:t>（十）观念意识普及</w:t>
            </w:r>
          </w:p>
        </w:tc>
        <w:tc>
          <w:tcPr>
            <w:tcW w:w="425"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38</w:t>
            </w:r>
          </w:p>
        </w:tc>
        <w:tc>
          <w:tcPr>
            <w:tcW w:w="2693"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党政领导干部参加生态文明培训的人数比例</w:t>
            </w:r>
          </w:p>
        </w:tc>
        <w:tc>
          <w:tcPr>
            <w:tcW w:w="558"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w:t>
            </w:r>
          </w:p>
        </w:tc>
        <w:tc>
          <w:tcPr>
            <w:tcW w:w="1710"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100</w:t>
            </w:r>
          </w:p>
        </w:tc>
        <w:tc>
          <w:tcPr>
            <w:tcW w:w="772"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参考性</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100</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1</w:t>
            </w:r>
            <w:r>
              <w:t>00</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1</w:t>
            </w:r>
            <w: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79" w:type="dxa"/>
            <w:vMerge w:val="continue"/>
            <w:tcBorders>
              <w:left w:val="single" w:color="auto" w:sz="4" w:space="0"/>
              <w:right w:val="single" w:color="auto" w:sz="4" w:space="0"/>
            </w:tcBorders>
            <w:vAlign w:val="center"/>
          </w:tcPr>
          <w:p>
            <w:pPr>
              <w:pStyle w:val="54"/>
            </w:pPr>
          </w:p>
        </w:tc>
        <w:tc>
          <w:tcPr>
            <w:tcW w:w="709" w:type="dxa"/>
            <w:vMerge w:val="continue"/>
            <w:tcBorders>
              <w:left w:val="single" w:color="auto" w:sz="4" w:space="0"/>
              <w:right w:val="single" w:color="auto" w:sz="4" w:space="0"/>
            </w:tcBorders>
            <w:vAlign w:val="center"/>
          </w:tcPr>
          <w:p>
            <w:pPr>
              <w:pStyle w:val="54"/>
            </w:pPr>
          </w:p>
        </w:tc>
        <w:tc>
          <w:tcPr>
            <w:tcW w:w="425"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39</w:t>
            </w:r>
          </w:p>
        </w:tc>
        <w:tc>
          <w:tcPr>
            <w:tcW w:w="2693"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公众对生态文明建设的满意度</w:t>
            </w:r>
          </w:p>
        </w:tc>
        <w:tc>
          <w:tcPr>
            <w:tcW w:w="558"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w:t>
            </w:r>
          </w:p>
        </w:tc>
        <w:tc>
          <w:tcPr>
            <w:tcW w:w="1710"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≥80</w:t>
            </w:r>
          </w:p>
        </w:tc>
        <w:tc>
          <w:tcPr>
            <w:tcW w:w="772" w:type="dxa"/>
            <w:tcBorders>
              <w:top w:val="single" w:color="auto" w:sz="4" w:space="0"/>
              <w:left w:val="single" w:color="auto" w:sz="4" w:space="0"/>
              <w:bottom w:val="single" w:color="auto" w:sz="4" w:space="0"/>
              <w:right w:val="single" w:color="auto" w:sz="4" w:space="0"/>
            </w:tcBorders>
            <w:vAlign w:val="center"/>
          </w:tcPr>
          <w:p>
            <w:pPr>
              <w:pStyle w:val="54"/>
            </w:pPr>
            <w:r>
              <w:rPr>
                <w:rFonts w:hint="eastAsia"/>
              </w:rPr>
              <w:t>参考性</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84.40</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持续提高</w:t>
            </w:r>
          </w:p>
        </w:tc>
        <w:tc>
          <w:tcPr>
            <w:tcW w:w="0" w:type="auto"/>
            <w:tcBorders>
              <w:top w:val="single" w:color="auto" w:sz="4" w:space="0"/>
              <w:left w:val="single" w:color="auto" w:sz="4" w:space="0"/>
              <w:bottom w:val="single" w:color="auto" w:sz="4" w:space="0"/>
              <w:right w:val="single" w:color="auto" w:sz="8" w:space="0"/>
            </w:tcBorders>
            <w:vAlign w:val="center"/>
          </w:tcPr>
          <w:p>
            <w:pPr>
              <w:pStyle w:val="54"/>
              <w:jc w:val="center"/>
            </w:pPr>
            <w:r>
              <w:rPr>
                <w:rFonts w:hint="eastAsia"/>
              </w:rPr>
              <w:t>持续提高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79" w:type="dxa"/>
            <w:vMerge w:val="continue"/>
            <w:tcBorders>
              <w:left w:val="single" w:color="auto" w:sz="4" w:space="0"/>
              <w:bottom w:val="single" w:color="auto" w:sz="8" w:space="0"/>
              <w:right w:val="single" w:color="auto" w:sz="4" w:space="0"/>
            </w:tcBorders>
            <w:vAlign w:val="center"/>
          </w:tcPr>
          <w:p>
            <w:pPr>
              <w:pStyle w:val="54"/>
            </w:pPr>
          </w:p>
        </w:tc>
        <w:tc>
          <w:tcPr>
            <w:tcW w:w="709" w:type="dxa"/>
            <w:vMerge w:val="continue"/>
            <w:tcBorders>
              <w:left w:val="single" w:color="auto" w:sz="4" w:space="0"/>
              <w:bottom w:val="single" w:color="auto" w:sz="8" w:space="0"/>
              <w:right w:val="single" w:color="auto" w:sz="4" w:space="0"/>
            </w:tcBorders>
            <w:vAlign w:val="center"/>
          </w:tcPr>
          <w:p>
            <w:pPr>
              <w:pStyle w:val="54"/>
            </w:pPr>
          </w:p>
        </w:tc>
        <w:tc>
          <w:tcPr>
            <w:tcW w:w="425" w:type="dxa"/>
            <w:tcBorders>
              <w:top w:val="single" w:color="auto" w:sz="4" w:space="0"/>
              <w:left w:val="single" w:color="auto" w:sz="4" w:space="0"/>
              <w:bottom w:val="single" w:color="auto" w:sz="8" w:space="0"/>
              <w:right w:val="single" w:color="auto" w:sz="4" w:space="0"/>
            </w:tcBorders>
            <w:vAlign w:val="center"/>
          </w:tcPr>
          <w:p>
            <w:pPr>
              <w:pStyle w:val="54"/>
            </w:pPr>
            <w:r>
              <w:rPr>
                <w:rFonts w:hint="eastAsia"/>
              </w:rPr>
              <w:t>40</w:t>
            </w:r>
          </w:p>
        </w:tc>
        <w:tc>
          <w:tcPr>
            <w:tcW w:w="2693" w:type="dxa"/>
            <w:tcBorders>
              <w:top w:val="single" w:color="auto" w:sz="4" w:space="0"/>
              <w:left w:val="single" w:color="auto" w:sz="4" w:space="0"/>
              <w:bottom w:val="single" w:color="auto" w:sz="8" w:space="0"/>
              <w:right w:val="single" w:color="auto" w:sz="4" w:space="0"/>
            </w:tcBorders>
            <w:vAlign w:val="center"/>
          </w:tcPr>
          <w:p>
            <w:pPr>
              <w:pStyle w:val="54"/>
            </w:pPr>
            <w:r>
              <w:rPr>
                <w:rFonts w:hint="eastAsia"/>
              </w:rPr>
              <w:t>公众对生态文明建设的参与度</w:t>
            </w:r>
          </w:p>
        </w:tc>
        <w:tc>
          <w:tcPr>
            <w:tcW w:w="558" w:type="dxa"/>
            <w:tcBorders>
              <w:top w:val="single" w:color="auto" w:sz="4" w:space="0"/>
              <w:left w:val="single" w:color="auto" w:sz="4" w:space="0"/>
              <w:bottom w:val="single" w:color="auto" w:sz="8" w:space="0"/>
              <w:right w:val="single" w:color="auto" w:sz="4" w:space="0"/>
            </w:tcBorders>
            <w:vAlign w:val="center"/>
          </w:tcPr>
          <w:p>
            <w:pPr>
              <w:pStyle w:val="54"/>
            </w:pPr>
            <w:r>
              <w:rPr>
                <w:rFonts w:hint="eastAsia"/>
              </w:rPr>
              <w:t>%</w:t>
            </w:r>
          </w:p>
        </w:tc>
        <w:tc>
          <w:tcPr>
            <w:tcW w:w="1710" w:type="dxa"/>
            <w:tcBorders>
              <w:top w:val="single" w:color="auto" w:sz="4" w:space="0"/>
              <w:left w:val="single" w:color="auto" w:sz="4" w:space="0"/>
              <w:bottom w:val="single" w:color="auto" w:sz="8" w:space="0"/>
              <w:right w:val="single" w:color="auto" w:sz="4" w:space="0"/>
            </w:tcBorders>
            <w:vAlign w:val="center"/>
          </w:tcPr>
          <w:p>
            <w:pPr>
              <w:pStyle w:val="54"/>
            </w:pPr>
            <w:r>
              <w:rPr>
                <w:rFonts w:hint="eastAsia"/>
              </w:rPr>
              <w:t>≥80</w:t>
            </w:r>
          </w:p>
        </w:tc>
        <w:tc>
          <w:tcPr>
            <w:tcW w:w="772" w:type="dxa"/>
            <w:tcBorders>
              <w:top w:val="single" w:color="auto" w:sz="4" w:space="0"/>
              <w:left w:val="single" w:color="auto" w:sz="4" w:space="0"/>
              <w:bottom w:val="single" w:color="auto" w:sz="8" w:space="0"/>
              <w:right w:val="single" w:color="auto" w:sz="4" w:space="0"/>
            </w:tcBorders>
            <w:vAlign w:val="center"/>
          </w:tcPr>
          <w:p>
            <w:pPr>
              <w:pStyle w:val="54"/>
            </w:pPr>
            <w:r>
              <w:rPr>
                <w:rFonts w:hint="eastAsia"/>
              </w:rPr>
              <w:t>参考性</w:t>
            </w:r>
          </w:p>
        </w:tc>
        <w:tc>
          <w:tcPr>
            <w:tcW w:w="0" w:type="auto"/>
            <w:tcBorders>
              <w:top w:val="single" w:color="auto" w:sz="4" w:space="0"/>
              <w:left w:val="single" w:color="auto" w:sz="4" w:space="0"/>
              <w:bottom w:val="single" w:color="auto" w:sz="8" w:space="0"/>
              <w:right w:val="single" w:color="auto" w:sz="8" w:space="0"/>
            </w:tcBorders>
            <w:vAlign w:val="center"/>
          </w:tcPr>
          <w:p>
            <w:pPr>
              <w:pStyle w:val="54"/>
              <w:jc w:val="center"/>
            </w:pPr>
            <w:r>
              <w:rPr>
                <w:rFonts w:hint="eastAsia"/>
              </w:rPr>
              <w:t>83.71</w:t>
            </w:r>
          </w:p>
        </w:tc>
        <w:tc>
          <w:tcPr>
            <w:tcW w:w="0" w:type="auto"/>
            <w:tcBorders>
              <w:top w:val="single" w:color="auto" w:sz="4" w:space="0"/>
              <w:left w:val="single" w:color="auto" w:sz="4" w:space="0"/>
              <w:bottom w:val="single" w:color="auto" w:sz="8" w:space="0"/>
              <w:right w:val="single" w:color="auto" w:sz="8" w:space="0"/>
            </w:tcBorders>
            <w:vAlign w:val="center"/>
          </w:tcPr>
          <w:p>
            <w:pPr>
              <w:pStyle w:val="54"/>
              <w:jc w:val="center"/>
            </w:pPr>
            <w:r>
              <w:rPr>
                <w:rFonts w:hint="eastAsia"/>
              </w:rPr>
              <w:t>持续提高</w:t>
            </w:r>
          </w:p>
        </w:tc>
        <w:tc>
          <w:tcPr>
            <w:tcW w:w="0" w:type="auto"/>
            <w:tcBorders>
              <w:top w:val="single" w:color="auto" w:sz="4" w:space="0"/>
              <w:left w:val="single" w:color="auto" w:sz="4" w:space="0"/>
              <w:bottom w:val="single" w:color="auto" w:sz="8" w:space="0"/>
              <w:right w:val="single" w:color="auto" w:sz="8" w:space="0"/>
            </w:tcBorders>
            <w:vAlign w:val="center"/>
          </w:tcPr>
          <w:p>
            <w:pPr>
              <w:pStyle w:val="54"/>
              <w:jc w:val="center"/>
            </w:pPr>
            <w:r>
              <w:rPr>
                <w:rFonts w:hint="eastAsia"/>
              </w:rPr>
              <w:t>持续提高</w:t>
            </w:r>
          </w:p>
        </w:tc>
      </w:tr>
    </w:tbl>
    <w:p>
      <w:pPr>
        <w:pStyle w:val="54"/>
        <w:ind w:firstLine="420"/>
      </w:pPr>
      <w:r>
        <w:t>注</w:t>
      </w:r>
      <w:r>
        <w:rPr>
          <w:rFonts w:hint="eastAsia"/>
        </w:rPr>
        <w:t>：</w:t>
      </w:r>
      <w:r>
        <w:rPr>
          <w:rFonts w:hint="eastAsia"/>
          <w:vertAlign w:val="superscript"/>
        </w:rPr>
        <w:t>1</w:t>
      </w:r>
      <w:r>
        <w:rPr>
          <w:rFonts w:hint="eastAsia"/>
        </w:rPr>
        <w:t>该指标为201</w:t>
      </w:r>
      <w:r>
        <w:t>8</w:t>
      </w:r>
      <w:r>
        <w:rPr>
          <w:rFonts w:hint="eastAsia"/>
        </w:rPr>
        <w:t>年数据。</w:t>
      </w:r>
    </w:p>
    <w:p>
      <w:pPr>
        <w:pStyle w:val="54"/>
        <w:ind w:firstLine="420"/>
        <w:sectPr>
          <w:pgSz w:w="16838" w:h="11906" w:orient="landscape"/>
          <w:pgMar w:top="1800" w:right="1440" w:bottom="1800" w:left="1440" w:header="851" w:footer="992" w:gutter="0"/>
          <w:cols w:space="425" w:num="1"/>
          <w:docGrid w:type="lines" w:linePitch="312" w:charSpace="0"/>
        </w:sectPr>
      </w:pPr>
      <w:r>
        <w:rPr>
          <w:rFonts w:hint="eastAsia"/>
        </w:rPr>
        <w:t>“-”表示该指标不属于江北区国家生态文明建设示范区指标</w:t>
      </w:r>
    </w:p>
    <w:p>
      <w:pPr>
        <w:keepNext/>
        <w:ind w:firstLine="562"/>
        <w:jc w:val="center"/>
        <w:rPr>
          <w:rFonts w:cs="Times New Roman"/>
          <w:b/>
          <w:szCs w:val="28"/>
        </w:rPr>
      </w:pPr>
      <w:r>
        <w:rPr>
          <w:rFonts w:cs="Times New Roman"/>
          <w:b/>
          <w:szCs w:val="28"/>
        </w:rPr>
        <w:t>表二</w:t>
      </w:r>
      <w:r>
        <w:rPr>
          <w:rFonts w:hint="eastAsia" w:cs="Times New Roman"/>
          <w:b/>
          <w:szCs w:val="28"/>
        </w:rPr>
        <w:t xml:space="preserve"> 浙江省生态文明建设示范区建设指标体系</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79"/>
        <w:gridCol w:w="709"/>
        <w:gridCol w:w="425"/>
        <w:gridCol w:w="2693"/>
        <w:gridCol w:w="567"/>
        <w:gridCol w:w="1701"/>
        <w:gridCol w:w="851"/>
        <w:gridCol w:w="2707"/>
        <w:gridCol w:w="2124"/>
        <w:gridCol w:w="1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blHeader/>
          <w:jc w:val="center"/>
        </w:trPr>
        <w:tc>
          <w:tcPr>
            <w:tcW w:w="279" w:type="dxa"/>
            <w:vAlign w:val="center"/>
          </w:tcPr>
          <w:p>
            <w:pPr>
              <w:pStyle w:val="54"/>
              <w:jc w:val="center"/>
            </w:pPr>
            <w:r>
              <w:rPr>
                <w:rFonts w:hint="eastAsia"/>
              </w:rPr>
              <w:t>领域</w:t>
            </w:r>
          </w:p>
        </w:tc>
        <w:tc>
          <w:tcPr>
            <w:tcW w:w="709" w:type="dxa"/>
            <w:vAlign w:val="center"/>
          </w:tcPr>
          <w:p>
            <w:pPr>
              <w:pStyle w:val="54"/>
              <w:jc w:val="center"/>
            </w:pPr>
            <w:r>
              <w:rPr>
                <w:rFonts w:hint="eastAsia"/>
              </w:rPr>
              <w:t>任务</w:t>
            </w:r>
          </w:p>
        </w:tc>
        <w:tc>
          <w:tcPr>
            <w:tcW w:w="425" w:type="dxa"/>
            <w:vAlign w:val="center"/>
          </w:tcPr>
          <w:p>
            <w:pPr>
              <w:pStyle w:val="54"/>
              <w:jc w:val="center"/>
            </w:pPr>
            <w:r>
              <w:rPr>
                <w:rFonts w:hint="eastAsia"/>
              </w:rPr>
              <w:t>序号</w:t>
            </w:r>
          </w:p>
        </w:tc>
        <w:tc>
          <w:tcPr>
            <w:tcW w:w="2693" w:type="dxa"/>
            <w:vAlign w:val="center"/>
          </w:tcPr>
          <w:p>
            <w:pPr>
              <w:pStyle w:val="54"/>
              <w:jc w:val="center"/>
            </w:pPr>
            <w:r>
              <w:rPr>
                <w:rFonts w:hint="eastAsia"/>
              </w:rPr>
              <w:t>指标名称</w:t>
            </w:r>
          </w:p>
        </w:tc>
        <w:tc>
          <w:tcPr>
            <w:tcW w:w="567" w:type="dxa"/>
            <w:vAlign w:val="center"/>
          </w:tcPr>
          <w:p>
            <w:pPr>
              <w:pStyle w:val="54"/>
              <w:jc w:val="center"/>
            </w:pPr>
            <w:r>
              <w:rPr>
                <w:rFonts w:hint="eastAsia"/>
              </w:rPr>
              <w:t>单位</w:t>
            </w:r>
          </w:p>
        </w:tc>
        <w:tc>
          <w:tcPr>
            <w:tcW w:w="1701" w:type="dxa"/>
            <w:vAlign w:val="center"/>
          </w:tcPr>
          <w:p>
            <w:pPr>
              <w:pStyle w:val="54"/>
              <w:jc w:val="center"/>
            </w:pPr>
            <w:r>
              <w:rPr>
                <w:rFonts w:hint="eastAsia"/>
              </w:rPr>
              <w:t>指标值</w:t>
            </w:r>
          </w:p>
        </w:tc>
        <w:tc>
          <w:tcPr>
            <w:tcW w:w="851" w:type="dxa"/>
            <w:vAlign w:val="center"/>
          </w:tcPr>
          <w:p>
            <w:pPr>
              <w:pStyle w:val="54"/>
              <w:jc w:val="center"/>
            </w:pPr>
            <w:r>
              <w:rPr>
                <w:rFonts w:hint="eastAsia"/>
              </w:rPr>
              <w:t>指标属性</w:t>
            </w:r>
          </w:p>
        </w:tc>
        <w:tc>
          <w:tcPr>
            <w:tcW w:w="2707" w:type="dxa"/>
            <w:vAlign w:val="center"/>
          </w:tcPr>
          <w:p>
            <w:pPr>
              <w:pStyle w:val="54"/>
              <w:jc w:val="center"/>
            </w:pPr>
            <w:r>
              <w:t>现状值</w:t>
            </w:r>
          </w:p>
          <w:p>
            <w:pPr>
              <w:pStyle w:val="54"/>
              <w:jc w:val="center"/>
            </w:pPr>
            <w:r>
              <w:rPr>
                <w:rFonts w:hint="eastAsia"/>
              </w:rPr>
              <w:t>（2</w:t>
            </w:r>
            <w:r>
              <w:t>019年</w:t>
            </w:r>
            <w:r>
              <w:rPr>
                <w:rFonts w:hint="eastAsia"/>
              </w:rPr>
              <w:t>）</w:t>
            </w:r>
          </w:p>
        </w:tc>
        <w:tc>
          <w:tcPr>
            <w:tcW w:w="0" w:type="auto"/>
            <w:vAlign w:val="center"/>
          </w:tcPr>
          <w:p>
            <w:pPr>
              <w:pStyle w:val="54"/>
              <w:jc w:val="center"/>
            </w:pPr>
            <w:r>
              <w:t>近期目标</w:t>
            </w:r>
          </w:p>
          <w:p>
            <w:pPr>
              <w:pStyle w:val="54"/>
              <w:jc w:val="center"/>
            </w:pPr>
            <w:r>
              <w:rPr>
                <w:rFonts w:hint="eastAsia"/>
              </w:rPr>
              <w:t>（2</w:t>
            </w:r>
            <w:r>
              <w:t>025</w:t>
            </w:r>
            <w:r>
              <w:rPr>
                <w:rFonts w:hint="eastAsia"/>
              </w:rPr>
              <w:t>）</w:t>
            </w:r>
          </w:p>
        </w:tc>
        <w:tc>
          <w:tcPr>
            <w:tcW w:w="0" w:type="auto"/>
            <w:vAlign w:val="center"/>
          </w:tcPr>
          <w:p>
            <w:pPr>
              <w:pStyle w:val="54"/>
              <w:jc w:val="center"/>
            </w:pPr>
            <w:r>
              <w:rPr>
                <w:rFonts w:hint="eastAsia"/>
              </w:rPr>
              <w:t>远期目标</w:t>
            </w:r>
          </w:p>
          <w:p>
            <w:pPr>
              <w:pStyle w:val="54"/>
              <w:jc w:val="center"/>
            </w:pPr>
            <w:r>
              <w:rPr>
                <w:rFonts w:hint="eastAsia"/>
              </w:rPr>
              <w:t>（2</w:t>
            </w:r>
            <w:r>
              <w:t>030</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9" w:type="dxa"/>
            <w:vMerge w:val="restart"/>
            <w:vAlign w:val="center"/>
          </w:tcPr>
          <w:p>
            <w:pPr>
              <w:pStyle w:val="54"/>
              <w:jc w:val="center"/>
            </w:pPr>
            <w:r>
              <w:rPr>
                <w:rFonts w:hint="eastAsia"/>
              </w:rPr>
              <w:t>生态制度</w:t>
            </w:r>
          </w:p>
        </w:tc>
        <w:tc>
          <w:tcPr>
            <w:tcW w:w="709" w:type="dxa"/>
            <w:vMerge w:val="restart"/>
            <w:vAlign w:val="center"/>
          </w:tcPr>
          <w:p>
            <w:pPr>
              <w:pStyle w:val="54"/>
              <w:jc w:val="center"/>
            </w:pPr>
            <w:r>
              <w:rPr>
                <w:rFonts w:hint="eastAsia"/>
              </w:rPr>
              <w:t>（一）目标责任体系与制度建设</w:t>
            </w:r>
          </w:p>
        </w:tc>
        <w:tc>
          <w:tcPr>
            <w:tcW w:w="425" w:type="dxa"/>
            <w:vAlign w:val="center"/>
          </w:tcPr>
          <w:p>
            <w:pPr>
              <w:pStyle w:val="54"/>
              <w:jc w:val="center"/>
            </w:pPr>
            <w:r>
              <w:rPr>
                <w:rFonts w:hint="eastAsia"/>
              </w:rPr>
              <w:t>1</w:t>
            </w:r>
          </w:p>
        </w:tc>
        <w:tc>
          <w:tcPr>
            <w:tcW w:w="2693" w:type="dxa"/>
            <w:vAlign w:val="center"/>
          </w:tcPr>
          <w:p>
            <w:pPr>
              <w:pStyle w:val="54"/>
              <w:jc w:val="center"/>
            </w:pPr>
            <w:r>
              <w:rPr>
                <w:rFonts w:hint="eastAsia"/>
              </w:rPr>
              <w:t>生态文明建设规划</w:t>
            </w:r>
          </w:p>
        </w:tc>
        <w:tc>
          <w:tcPr>
            <w:tcW w:w="567" w:type="dxa"/>
            <w:vAlign w:val="center"/>
          </w:tcPr>
          <w:p>
            <w:pPr>
              <w:pStyle w:val="54"/>
              <w:jc w:val="center"/>
            </w:pPr>
            <w:r>
              <w:rPr>
                <w:rFonts w:hint="eastAsia"/>
              </w:rPr>
              <w:t>-</w:t>
            </w:r>
          </w:p>
        </w:tc>
        <w:tc>
          <w:tcPr>
            <w:tcW w:w="1701" w:type="dxa"/>
            <w:vAlign w:val="center"/>
          </w:tcPr>
          <w:p>
            <w:pPr>
              <w:pStyle w:val="54"/>
              <w:jc w:val="center"/>
              <w:rPr>
                <w:spacing w:val="-12"/>
              </w:rPr>
            </w:pPr>
            <w:r>
              <w:rPr>
                <w:rFonts w:hint="eastAsia"/>
              </w:rPr>
              <w:t>制定实施</w:t>
            </w:r>
          </w:p>
        </w:tc>
        <w:tc>
          <w:tcPr>
            <w:tcW w:w="851" w:type="dxa"/>
            <w:vAlign w:val="center"/>
          </w:tcPr>
          <w:p>
            <w:pPr>
              <w:pStyle w:val="54"/>
              <w:jc w:val="center"/>
            </w:pPr>
            <w:r>
              <w:rPr>
                <w:rFonts w:hint="eastAsia"/>
              </w:rPr>
              <w:t>约束性</w:t>
            </w:r>
          </w:p>
        </w:tc>
        <w:tc>
          <w:tcPr>
            <w:tcW w:w="2707" w:type="dxa"/>
            <w:vAlign w:val="center"/>
          </w:tcPr>
          <w:p>
            <w:pPr>
              <w:pStyle w:val="54"/>
              <w:jc w:val="center"/>
            </w:pPr>
            <w:r>
              <w:rPr>
                <w:rFonts w:hint="eastAsia"/>
              </w:rPr>
              <w:t>制定实施</w:t>
            </w:r>
          </w:p>
        </w:tc>
        <w:tc>
          <w:tcPr>
            <w:tcW w:w="0" w:type="auto"/>
            <w:vAlign w:val="center"/>
          </w:tcPr>
          <w:p>
            <w:pPr>
              <w:pStyle w:val="54"/>
              <w:jc w:val="center"/>
              <w:rPr>
                <w:bCs/>
                <w:iCs/>
                <w:color w:val="000000"/>
                <w:spacing w:val="-12"/>
              </w:rPr>
            </w:pPr>
            <w:r>
              <w:rPr>
                <w:rFonts w:hint="eastAsia"/>
              </w:rPr>
              <w:t>制定实施</w:t>
            </w:r>
          </w:p>
        </w:tc>
        <w:tc>
          <w:tcPr>
            <w:tcW w:w="0" w:type="auto"/>
            <w:vAlign w:val="center"/>
          </w:tcPr>
          <w:p>
            <w:pPr>
              <w:pStyle w:val="54"/>
              <w:jc w:val="center"/>
              <w:rPr>
                <w:bCs/>
                <w:iCs/>
                <w:color w:val="000000"/>
                <w:spacing w:val="-12"/>
              </w:rPr>
            </w:pPr>
            <w:r>
              <w:rPr>
                <w:rFonts w:hint="eastAsia"/>
              </w:rPr>
              <w:t>制定实施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9" w:type="dxa"/>
            <w:vMerge w:val="continue"/>
            <w:vAlign w:val="center"/>
          </w:tcPr>
          <w:p>
            <w:pPr>
              <w:pStyle w:val="54"/>
              <w:jc w:val="center"/>
            </w:pPr>
          </w:p>
        </w:tc>
        <w:tc>
          <w:tcPr>
            <w:tcW w:w="709" w:type="dxa"/>
            <w:vMerge w:val="continue"/>
            <w:vAlign w:val="center"/>
          </w:tcPr>
          <w:p>
            <w:pPr>
              <w:pStyle w:val="54"/>
              <w:jc w:val="center"/>
            </w:pPr>
          </w:p>
        </w:tc>
        <w:tc>
          <w:tcPr>
            <w:tcW w:w="425" w:type="dxa"/>
            <w:vAlign w:val="center"/>
          </w:tcPr>
          <w:p>
            <w:pPr>
              <w:pStyle w:val="54"/>
              <w:jc w:val="center"/>
            </w:pPr>
            <w:r>
              <w:rPr>
                <w:rFonts w:hint="eastAsia"/>
              </w:rPr>
              <w:t>2</w:t>
            </w:r>
          </w:p>
        </w:tc>
        <w:tc>
          <w:tcPr>
            <w:tcW w:w="2693" w:type="dxa"/>
            <w:vAlign w:val="center"/>
          </w:tcPr>
          <w:p>
            <w:pPr>
              <w:pStyle w:val="54"/>
              <w:jc w:val="center"/>
            </w:pPr>
            <w:r>
              <w:rPr>
                <w:rFonts w:hint="eastAsia"/>
              </w:rPr>
              <w:t>党委政府对生态文明建设</w:t>
            </w:r>
          </w:p>
          <w:p>
            <w:pPr>
              <w:pStyle w:val="54"/>
              <w:jc w:val="center"/>
            </w:pPr>
            <w:r>
              <w:rPr>
                <w:rFonts w:hint="eastAsia"/>
              </w:rPr>
              <w:t>重大目标任务部署情况</w:t>
            </w:r>
          </w:p>
        </w:tc>
        <w:tc>
          <w:tcPr>
            <w:tcW w:w="567" w:type="dxa"/>
            <w:vAlign w:val="center"/>
          </w:tcPr>
          <w:p>
            <w:pPr>
              <w:pStyle w:val="54"/>
              <w:jc w:val="center"/>
            </w:pPr>
            <w:r>
              <w:rPr>
                <w:rFonts w:hint="eastAsia"/>
              </w:rPr>
              <w:t>-</w:t>
            </w:r>
          </w:p>
        </w:tc>
        <w:tc>
          <w:tcPr>
            <w:tcW w:w="1701" w:type="dxa"/>
            <w:vAlign w:val="center"/>
          </w:tcPr>
          <w:p>
            <w:pPr>
              <w:pStyle w:val="54"/>
              <w:jc w:val="center"/>
            </w:pPr>
            <w:r>
              <w:rPr>
                <w:rFonts w:hint="eastAsia"/>
              </w:rPr>
              <w:t>有效开展</w:t>
            </w:r>
          </w:p>
        </w:tc>
        <w:tc>
          <w:tcPr>
            <w:tcW w:w="851" w:type="dxa"/>
            <w:vAlign w:val="center"/>
          </w:tcPr>
          <w:p>
            <w:pPr>
              <w:pStyle w:val="54"/>
              <w:jc w:val="center"/>
            </w:pPr>
            <w:r>
              <w:rPr>
                <w:rFonts w:hint="eastAsia"/>
              </w:rPr>
              <w:t>约束性</w:t>
            </w:r>
          </w:p>
        </w:tc>
        <w:tc>
          <w:tcPr>
            <w:tcW w:w="2707" w:type="dxa"/>
            <w:vAlign w:val="center"/>
          </w:tcPr>
          <w:p>
            <w:pPr>
              <w:pStyle w:val="54"/>
              <w:jc w:val="center"/>
            </w:pPr>
            <w:r>
              <w:rPr>
                <w:rFonts w:hint="eastAsia"/>
              </w:rPr>
              <w:t>有效开展</w:t>
            </w:r>
          </w:p>
        </w:tc>
        <w:tc>
          <w:tcPr>
            <w:tcW w:w="0" w:type="auto"/>
            <w:vAlign w:val="center"/>
          </w:tcPr>
          <w:p>
            <w:pPr>
              <w:pStyle w:val="54"/>
              <w:jc w:val="center"/>
              <w:rPr>
                <w:bCs/>
                <w:iCs/>
                <w:color w:val="000000"/>
                <w:spacing w:val="-12"/>
              </w:rPr>
            </w:pPr>
            <w:r>
              <w:rPr>
                <w:rFonts w:hint="eastAsia"/>
              </w:rPr>
              <w:t>有效开展</w:t>
            </w:r>
          </w:p>
        </w:tc>
        <w:tc>
          <w:tcPr>
            <w:tcW w:w="0" w:type="auto"/>
            <w:vAlign w:val="center"/>
          </w:tcPr>
          <w:p>
            <w:pPr>
              <w:pStyle w:val="54"/>
              <w:jc w:val="center"/>
              <w:rPr>
                <w:bCs/>
                <w:iCs/>
                <w:color w:val="000000"/>
                <w:spacing w:val="-12"/>
              </w:rPr>
            </w:pPr>
            <w:r>
              <w:rPr>
                <w:rFonts w:hint="eastAsia"/>
              </w:rPr>
              <w:t>有效开展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9" w:type="dxa"/>
            <w:vMerge w:val="continue"/>
            <w:vAlign w:val="center"/>
          </w:tcPr>
          <w:p>
            <w:pPr>
              <w:pStyle w:val="54"/>
              <w:jc w:val="center"/>
            </w:pPr>
          </w:p>
        </w:tc>
        <w:tc>
          <w:tcPr>
            <w:tcW w:w="709" w:type="dxa"/>
            <w:vMerge w:val="continue"/>
            <w:vAlign w:val="center"/>
          </w:tcPr>
          <w:p>
            <w:pPr>
              <w:pStyle w:val="54"/>
              <w:jc w:val="center"/>
            </w:pPr>
          </w:p>
        </w:tc>
        <w:tc>
          <w:tcPr>
            <w:tcW w:w="425" w:type="dxa"/>
            <w:vAlign w:val="center"/>
          </w:tcPr>
          <w:p>
            <w:pPr>
              <w:pStyle w:val="54"/>
              <w:jc w:val="center"/>
            </w:pPr>
            <w:r>
              <w:rPr>
                <w:rFonts w:hint="eastAsia"/>
              </w:rPr>
              <w:t>3</w:t>
            </w:r>
          </w:p>
        </w:tc>
        <w:tc>
          <w:tcPr>
            <w:tcW w:w="2693" w:type="dxa"/>
            <w:vAlign w:val="center"/>
          </w:tcPr>
          <w:p>
            <w:pPr>
              <w:pStyle w:val="54"/>
              <w:jc w:val="center"/>
            </w:pPr>
            <w:r>
              <w:rPr>
                <w:rFonts w:hint="eastAsia"/>
              </w:rPr>
              <w:t>生态文明建设工作占</w:t>
            </w:r>
          </w:p>
          <w:p>
            <w:pPr>
              <w:pStyle w:val="54"/>
              <w:jc w:val="center"/>
            </w:pPr>
            <w:r>
              <w:rPr>
                <w:rFonts w:hint="eastAsia"/>
              </w:rPr>
              <w:t>党政实绩考核的比例</w:t>
            </w:r>
          </w:p>
        </w:tc>
        <w:tc>
          <w:tcPr>
            <w:tcW w:w="567" w:type="dxa"/>
            <w:vAlign w:val="center"/>
          </w:tcPr>
          <w:p>
            <w:pPr>
              <w:pStyle w:val="54"/>
              <w:jc w:val="center"/>
            </w:pPr>
            <w:r>
              <w:rPr>
                <w:rFonts w:hint="eastAsia"/>
              </w:rPr>
              <w:t>%</w:t>
            </w:r>
          </w:p>
        </w:tc>
        <w:tc>
          <w:tcPr>
            <w:tcW w:w="1701" w:type="dxa"/>
            <w:vAlign w:val="center"/>
          </w:tcPr>
          <w:p>
            <w:pPr>
              <w:pStyle w:val="54"/>
              <w:jc w:val="center"/>
            </w:pPr>
            <w:r>
              <w:rPr>
                <w:rFonts w:hint="eastAsia"/>
              </w:rPr>
              <w:t>县≥30</w:t>
            </w:r>
          </w:p>
          <w:p>
            <w:pPr>
              <w:pStyle w:val="54"/>
              <w:jc w:val="center"/>
            </w:pPr>
            <w:r>
              <w:rPr>
                <w:rFonts w:hint="eastAsia"/>
              </w:rPr>
              <w:t>其他≥25</w:t>
            </w:r>
          </w:p>
        </w:tc>
        <w:tc>
          <w:tcPr>
            <w:tcW w:w="851" w:type="dxa"/>
            <w:vAlign w:val="center"/>
          </w:tcPr>
          <w:p>
            <w:pPr>
              <w:pStyle w:val="54"/>
              <w:jc w:val="center"/>
            </w:pPr>
            <w:r>
              <w:rPr>
                <w:rFonts w:hint="eastAsia"/>
              </w:rPr>
              <w:t>约束性</w:t>
            </w:r>
          </w:p>
        </w:tc>
        <w:tc>
          <w:tcPr>
            <w:tcW w:w="2707" w:type="dxa"/>
            <w:vAlign w:val="center"/>
          </w:tcPr>
          <w:p>
            <w:pPr>
              <w:pStyle w:val="54"/>
              <w:jc w:val="center"/>
            </w:pPr>
            <w:r>
              <w:rPr>
                <w:rFonts w:hint="eastAsia"/>
              </w:rPr>
              <w:t>城区街道 26.6</w:t>
            </w:r>
          </w:p>
          <w:p>
            <w:pPr>
              <w:pStyle w:val="54"/>
              <w:jc w:val="center"/>
            </w:pPr>
            <w:r>
              <w:rPr>
                <w:rFonts w:hint="eastAsia"/>
              </w:rPr>
              <w:t>涉农街道（镇）31.6</w:t>
            </w:r>
          </w:p>
        </w:tc>
        <w:tc>
          <w:tcPr>
            <w:tcW w:w="0" w:type="auto"/>
            <w:vAlign w:val="center"/>
          </w:tcPr>
          <w:p>
            <w:pPr>
              <w:pStyle w:val="54"/>
              <w:jc w:val="center"/>
            </w:pPr>
            <w:r>
              <w:rPr>
                <w:rFonts w:hint="eastAsia"/>
              </w:rPr>
              <w:t>持续提高</w:t>
            </w:r>
          </w:p>
        </w:tc>
        <w:tc>
          <w:tcPr>
            <w:tcW w:w="0" w:type="auto"/>
            <w:vAlign w:val="center"/>
          </w:tcPr>
          <w:p>
            <w:pPr>
              <w:pStyle w:val="54"/>
              <w:jc w:val="center"/>
            </w:pPr>
            <w:r>
              <w:rPr>
                <w:rFonts w:hint="eastAsia"/>
              </w:rPr>
              <w:t>持续提高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9" w:type="dxa"/>
            <w:vMerge w:val="continue"/>
            <w:vAlign w:val="center"/>
          </w:tcPr>
          <w:p>
            <w:pPr>
              <w:pStyle w:val="54"/>
              <w:jc w:val="center"/>
            </w:pPr>
          </w:p>
        </w:tc>
        <w:tc>
          <w:tcPr>
            <w:tcW w:w="709" w:type="dxa"/>
            <w:vMerge w:val="continue"/>
            <w:vAlign w:val="center"/>
          </w:tcPr>
          <w:p>
            <w:pPr>
              <w:pStyle w:val="54"/>
              <w:jc w:val="center"/>
            </w:pPr>
          </w:p>
        </w:tc>
        <w:tc>
          <w:tcPr>
            <w:tcW w:w="425" w:type="dxa"/>
            <w:vAlign w:val="center"/>
          </w:tcPr>
          <w:p>
            <w:pPr>
              <w:pStyle w:val="54"/>
              <w:jc w:val="center"/>
            </w:pPr>
            <w:r>
              <w:rPr>
                <w:rFonts w:hint="eastAsia"/>
              </w:rPr>
              <w:t>4</w:t>
            </w:r>
          </w:p>
        </w:tc>
        <w:tc>
          <w:tcPr>
            <w:tcW w:w="2693" w:type="dxa"/>
            <w:vAlign w:val="center"/>
          </w:tcPr>
          <w:p>
            <w:pPr>
              <w:pStyle w:val="54"/>
              <w:jc w:val="center"/>
            </w:pPr>
            <w:r>
              <w:rPr>
                <w:rFonts w:hint="eastAsia"/>
              </w:rPr>
              <w:t>生态环境信息公开率</w:t>
            </w:r>
          </w:p>
        </w:tc>
        <w:tc>
          <w:tcPr>
            <w:tcW w:w="567" w:type="dxa"/>
            <w:vAlign w:val="center"/>
          </w:tcPr>
          <w:p>
            <w:pPr>
              <w:pStyle w:val="54"/>
              <w:jc w:val="center"/>
            </w:pPr>
            <w:r>
              <w:rPr>
                <w:rFonts w:hint="eastAsia"/>
              </w:rPr>
              <w:t>%</w:t>
            </w:r>
          </w:p>
        </w:tc>
        <w:tc>
          <w:tcPr>
            <w:tcW w:w="1701" w:type="dxa"/>
            <w:vAlign w:val="center"/>
          </w:tcPr>
          <w:p>
            <w:pPr>
              <w:pStyle w:val="54"/>
              <w:jc w:val="center"/>
            </w:pPr>
            <w:r>
              <w:rPr>
                <w:rFonts w:hint="eastAsia"/>
              </w:rPr>
              <w:t>100</w:t>
            </w:r>
          </w:p>
        </w:tc>
        <w:tc>
          <w:tcPr>
            <w:tcW w:w="851" w:type="dxa"/>
            <w:vAlign w:val="center"/>
          </w:tcPr>
          <w:p>
            <w:pPr>
              <w:pStyle w:val="54"/>
              <w:jc w:val="center"/>
            </w:pPr>
            <w:r>
              <w:rPr>
                <w:rFonts w:hint="eastAsia"/>
              </w:rPr>
              <w:t>约束性</w:t>
            </w:r>
          </w:p>
        </w:tc>
        <w:tc>
          <w:tcPr>
            <w:tcW w:w="2707" w:type="dxa"/>
            <w:vAlign w:val="center"/>
          </w:tcPr>
          <w:p>
            <w:pPr>
              <w:pStyle w:val="54"/>
              <w:jc w:val="center"/>
            </w:pPr>
            <w:r>
              <w:rPr>
                <w:rFonts w:hint="eastAsia"/>
              </w:rPr>
              <w:t>100</w:t>
            </w:r>
          </w:p>
        </w:tc>
        <w:tc>
          <w:tcPr>
            <w:tcW w:w="0" w:type="auto"/>
            <w:vAlign w:val="center"/>
          </w:tcPr>
          <w:p>
            <w:pPr>
              <w:pStyle w:val="54"/>
              <w:jc w:val="center"/>
              <w:rPr>
                <w:bCs/>
                <w:iCs/>
                <w:color w:val="000000"/>
                <w:spacing w:val="-12"/>
              </w:rPr>
            </w:pPr>
            <w:r>
              <w:rPr>
                <w:rFonts w:hint="eastAsia"/>
              </w:rPr>
              <w:t>100</w:t>
            </w:r>
          </w:p>
        </w:tc>
        <w:tc>
          <w:tcPr>
            <w:tcW w:w="0" w:type="auto"/>
            <w:vAlign w:val="center"/>
          </w:tcPr>
          <w:p>
            <w:pPr>
              <w:pStyle w:val="54"/>
              <w:jc w:val="center"/>
              <w:rPr>
                <w:bCs/>
                <w:iCs/>
                <w:color w:val="000000"/>
                <w:spacing w:val="-12"/>
              </w:rPr>
            </w:pPr>
            <w:r>
              <w:rPr>
                <w:rFonts w:hint="eastAsi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9" w:type="dxa"/>
            <w:vMerge w:val="continue"/>
            <w:vAlign w:val="center"/>
          </w:tcPr>
          <w:p>
            <w:pPr>
              <w:pStyle w:val="54"/>
              <w:jc w:val="center"/>
            </w:pPr>
          </w:p>
        </w:tc>
        <w:tc>
          <w:tcPr>
            <w:tcW w:w="709" w:type="dxa"/>
            <w:vMerge w:val="continue"/>
            <w:vAlign w:val="center"/>
          </w:tcPr>
          <w:p>
            <w:pPr>
              <w:pStyle w:val="54"/>
              <w:jc w:val="center"/>
            </w:pPr>
          </w:p>
        </w:tc>
        <w:tc>
          <w:tcPr>
            <w:tcW w:w="425" w:type="dxa"/>
            <w:vAlign w:val="center"/>
          </w:tcPr>
          <w:p>
            <w:pPr>
              <w:pStyle w:val="54"/>
              <w:jc w:val="center"/>
            </w:pPr>
            <w:r>
              <w:rPr>
                <w:rFonts w:hint="eastAsia"/>
              </w:rPr>
              <w:t>5</w:t>
            </w:r>
          </w:p>
        </w:tc>
        <w:tc>
          <w:tcPr>
            <w:tcW w:w="2693" w:type="dxa"/>
            <w:vAlign w:val="center"/>
          </w:tcPr>
          <w:p>
            <w:pPr>
              <w:pStyle w:val="54"/>
              <w:jc w:val="center"/>
            </w:pPr>
            <w:r>
              <w:rPr>
                <w:rFonts w:hint="eastAsia"/>
              </w:rPr>
              <w:t>依法开展规划环境影响评价</w:t>
            </w:r>
          </w:p>
        </w:tc>
        <w:tc>
          <w:tcPr>
            <w:tcW w:w="567" w:type="dxa"/>
            <w:vAlign w:val="center"/>
          </w:tcPr>
          <w:p>
            <w:pPr>
              <w:pStyle w:val="54"/>
              <w:jc w:val="center"/>
            </w:pPr>
            <w:r>
              <w:rPr>
                <w:rFonts w:hint="eastAsia"/>
              </w:rPr>
              <w:t>%</w:t>
            </w:r>
          </w:p>
        </w:tc>
        <w:tc>
          <w:tcPr>
            <w:tcW w:w="1701" w:type="dxa"/>
            <w:vAlign w:val="center"/>
          </w:tcPr>
          <w:p>
            <w:pPr>
              <w:pStyle w:val="54"/>
              <w:jc w:val="center"/>
            </w:pPr>
            <w:r>
              <w:rPr>
                <w:rFonts w:hint="eastAsia"/>
              </w:rPr>
              <w:t>100</w:t>
            </w:r>
          </w:p>
        </w:tc>
        <w:tc>
          <w:tcPr>
            <w:tcW w:w="851" w:type="dxa"/>
            <w:vAlign w:val="center"/>
          </w:tcPr>
          <w:p>
            <w:pPr>
              <w:pStyle w:val="54"/>
              <w:jc w:val="center"/>
            </w:pPr>
            <w:r>
              <w:rPr>
                <w:rFonts w:hint="eastAsia"/>
              </w:rPr>
              <w:t>约束性</w:t>
            </w:r>
          </w:p>
        </w:tc>
        <w:tc>
          <w:tcPr>
            <w:tcW w:w="2707" w:type="dxa"/>
            <w:vAlign w:val="center"/>
          </w:tcPr>
          <w:p>
            <w:pPr>
              <w:pStyle w:val="54"/>
              <w:jc w:val="center"/>
            </w:pPr>
            <w:r>
              <w:rPr>
                <w:rFonts w:hint="eastAsia"/>
              </w:rPr>
              <w:t>100</w:t>
            </w:r>
          </w:p>
        </w:tc>
        <w:tc>
          <w:tcPr>
            <w:tcW w:w="0" w:type="auto"/>
            <w:vAlign w:val="center"/>
          </w:tcPr>
          <w:p>
            <w:pPr>
              <w:pStyle w:val="54"/>
              <w:jc w:val="center"/>
              <w:rPr>
                <w:bCs/>
                <w:iCs/>
                <w:color w:val="000000"/>
                <w:spacing w:val="-12"/>
              </w:rPr>
            </w:pPr>
            <w:r>
              <w:rPr>
                <w:rFonts w:hint="eastAsia"/>
              </w:rPr>
              <w:t>100</w:t>
            </w:r>
          </w:p>
        </w:tc>
        <w:tc>
          <w:tcPr>
            <w:tcW w:w="0" w:type="auto"/>
            <w:vAlign w:val="center"/>
          </w:tcPr>
          <w:p>
            <w:pPr>
              <w:pStyle w:val="54"/>
              <w:jc w:val="center"/>
              <w:rPr>
                <w:bCs/>
                <w:iCs/>
                <w:color w:val="000000"/>
                <w:spacing w:val="-12"/>
              </w:rPr>
            </w:pPr>
            <w:r>
              <w:rPr>
                <w:rFonts w:hint="eastAsi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9" w:type="dxa"/>
            <w:vMerge w:val="continue"/>
            <w:vAlign w:val="center"/>
          </w:tcPr>
          <w:p>
            <w:pPr>
              <w:pStyle w:val="54"/>
              <w:jc w:val="center"/>
            </w:pPr>
          </w:p>
        </w:tc>
        <w:tc>
          <w:tcPr>
            <w:tcW w:w="709" w:type="dxa"/>
            <w:vMerge w:val="continue"/>
            <w:vAlign w:val="center"/>
          </w:tcPr>
          <w:p>
            <w:pPr>
              <w:pStyle w:val="54"/>
              <w:jc w:val="center"/>
            </w:pPr>
          </w:p>
        </w:tc>
        <w:tc>
          <w:tcPr>
            <w:tcW w:w="425" w:type="dxa"/>
            <w:vAlign w:val="center"/>
          </w:tcPr>
          <w:p>
            <w:pPr>
              <w:pStyle w:val="54"/>
              <w:jc w:val="center"/>
            </w:pPr>
            <w:r>
              <w:rPr>
                <w:rFonts w:hint="eastAsia"/>
              </w:rPr>
              <w:t>6</w:t>
            </w:r>
          </w:p>
        </w:tc>
        <w:tc>
          <w:tcPr>
            <w:tcW w:w="2693" w:type="dxa"/>
            <w:vAlign w:val="center"/>
          </w:tcPr>
          <w:p>
            <w:pPr>
              <w:pStyle w:val="54"/>
              <w:jc w:val="center"/>
            </w:pPr>
            <w:r>
              <w:rPr>
                <w:rFonts w:hint="eastAsia"/>
              </w:rPr>
              <w:t>生态环境损害赔偿</w:t>
            </w:r>
          </w:p>
        </w:tc>
        <w:tc>
          <w:tcPr>
            <w:tcW w:w="567" w:type="dxa"/>
            <w:vAlign w:val="center"/>
          </w:tcPr>
          <w:p>
            <w:pPr>
              <w:pStyle w:val="54"/>
              <w:jc w:val="center"/>
            </w:pPr>
            <w:r>
              <w:rPr>
                <w:rFonts w:hint="eastAsia"/>
              </w:rPr>
              <w:t>-</w:t>
            </w:r>
          </w:p>
        </w:tc>
        <w:tc>
          <w:tcPr>
            <w:tcW w:w="1701" w:type="dxa"/>
            <w:vAlign w:val="center"/>
          </w:tcPr>
          <w:p>
            <w:pPr>
              <w:pStyle w:val="54"/>
              <w:jc w:val="center"/>
            </w:pPr>
            <w:r>
              <w:rPr>
                <w:rFonts w:hint="eastAsia"/>
              </w:rPr>
              <w:t>全面实施</w:t>
            </w:r>
          </w:p>
        </w:tc>
        <w:tc>
          <w:tcPr>
            <w:tcW w:w="851" w:type="dxa"/>
            <w:vAlign w:val="center"/>
          </w:tcPr>
          <w:p>
            <w:pPr>
              <w:pStyle w:val="54"/>
              <w:jc w:val="center"/>
            </w:pPr>
            <w:r>
              <w:rPr>
                <w:rFonts w:hint="eastAsia"/>
              </w:rPr>
              <w:t>约束性</w:t>
            </w:r>
          </w:p>
        </w:tc>
        <w:tc>
          <w:tcPr>
            <w:tcW w:w="2707" w:type="dxa"/>
            <w:vAlign w:val="center"/>
          </w:tcPr>
          <w:p>
            <w:pPr>
              <w:pStyle w:val="54"/>
              <w:jc w:val="center"/>
            </w:pPr>
            <w:r>
              <w:rPr>
                <w:rFonts w:hint="eastAsia"/>
              </w:rPr>
              <w:t>全面实施</w:t>
            </w:r>
          </w:p>
        </w:tc>
        <w:tc>
          <w:tcPr>
            <w:tcW w:w="0" w:type="auto"/>
            <w:vAlign w:val="center"/>
          </w:tcPr>
          <w:p>
            <w:pPr>
              <w:pStyle w:val="54"/>
              <w:jc w:val="center"/>
              <w:rPr>
                <w:color w:val="000000"/>
                <w:spacing w:val="-12"/>
              </w:rPr>
            </w:pPr>
            <w:r>
              <w:rPr>
                <w:rFonts w:hint="eastAsia"/>
              </w:rPr>
              <w:t>全面实施</w:t>
            </w:r>
          </w:p>
        </w:tc>
        <w:tc>
          <w:tcPr>
            <w:tcW w:w="0" w:type="auto"/>
            <w:vAlign w:val="center"/>
          </w:tcPr>
          <w:p>
            <w:pPr>
              <w:pStyle w:val="54"/>
              <w:jc w:val="center"/>
              <w:rPr>
                <w:bCs/>
                <w:iCs/>
                <w:color w:val="000000"/>
                <w:spacing w:val="-12"/>
              </w:rPr>
            </w:pPr>
            <w:r>
              <w:rPr>
                <w:rFonts w:hint="eastAsia"/>
              </w:rPr>
              <w:t>全面实施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9" w:type="dxa"/>
            <w:vMerge w:val="continue"/>
            <w:vAlign w:val="center"/>
          </w:tcPr>
          <w:p>
            <w:pPr>
              <w:pStyle w:val="54"/>
              <w:jc w:val="center"/>
            </w:pPr>
          </w:p>
        </w:tc>
        <w:tc>
          <w:tcPr>
            <w:tcW w:w="709" w:type="dxa"/>
            <w:vMerge w:val="continue"/>
            <w:vAlign w:val="center"/>
          </w:tcPr>
          <w:p>
            <w:pPr>
              <w:pStyle w:val="54"/>
              <w:jc w:val="center"/>
            </w:pPr>
          </w:p>
        </w:tc>
        <w:tc>
          <w:tcPr>
            <w:tcW w:w="425" w:type="dxa"/>
            <w:vAlign w:val="center"/>
          </w:tcPr>
          <w:p>
            <w:pPr>
              <w:pStyle w:val="54"/>
              <w:jc w:val="center"/>
            </w:pPr>
            <w:r>
              <w:rPr>
                <w:rFonts w:hint="eastAsia"/>
              </w:rPr>
              <w:t>7</w:t>
            </w:r>
          </w:p>
        </w:tc>
        <w:tc>
          <w:tcPr>
            <w:tcW w:w="2693" w:type="dxa"/>
            <w:vAlign w:val="center"/>
          </w:tcPr>
          <w:p>
            <w:pPr>
              <w:pStyle w:val="54"/>
              <w:jc w:val="center"/>
            </w:pPr>
            <w:r>
              <w:rPr>
                <w:rFonts w:hint="eastAsia"/>
              </w:rPr>
              <w:t>绿色贷款</w:t>
            </w:r>
          </w:p>
        </w:tc>
        <w:tc>
          <w:tcPr>
            <w:tcW w:w="567" w:type="dxa"/>
            <w:vAlign w:val="center"/>
          </w:tcPr>
          <w:p>
            <w:pPr>
              <w:pStyle w:val="54"/>
              <w:jc w:val="center"/>
            </w:pPr>
            <w:r>
              <w:rPr>
                <w:rFonts w:hint="eastAsia"/>
              </w:rPr>
              <w:t>亿元</w:t>
            </w:r>
          </w:p>
        </w:tc>
        <w:tc>
          <w:tcPr>
            <w:tcW w:w="1701" w:type="dxa"/>
            <w:vAlign w:val="center"/>
          </w:tcPr>
          <w:p>
            <w:pPr>
              <w:pStyle w:val="54"/>
              <w:jc w:val="center"/>
            </w:pPr>
            <w:r>
              <w:rPr>
                <w:rFonts w:hint="eastAsia"/>
              </w:rPr>
              <w:t>逐年上升</w:t>
            </w:r>
          </w:p>
        </w:tc>
        <w:tc>
          <w:tcPr>
            <w:tcW w:w="851" w:type="dxa"/>
            <w:vAlign w:val="center"/>
          </w:tcPr>
          <w:p>
            <w:pPr>
              <w:pStyle w:val="54"/>
              <w:jc w:val="center"/>
            </w:pPr>
            <w:r>
              <w:rPr>
                <w:rFonts w:hint="eastAsia"/>
              </w:rPr>
              <w:t>参考性</w:t>
            </w:r>
          </w:p>
        </w:tc>
        <w:tc>
          <w:tcPr>
            <w:tcW w:w="2707" w:type="dxa"/>
            <w:vAlign w:val="center"/>
          </w:tcPr>
          <w:p>
            <w:pPr>
              <w:pStyle w:val="54"/>
              <w:jc w:val="center"/>
            </w:pPr>
            <w:r>
              <w:rPr>
                <w:rFonts w:hint="eastAsia"/>
              </w:rPr>
              <w:t>逐年上升</w:t>
            </w:r>
          </w:p>
        </w:tc>
        <w:tc>
          <w:tcPr>
            <w:tcW w:w="0" w:type="auto"/>
            <w:vAlign w:val="center"/>
          </w:tcPr>
          <w:p>
            <w:pPr>
              <w:pStyle w:val="54"/>
              <w:jc w:val="center"/>
              <w:rPr>
                <w:color w:val="000000"/>
                <w:spacing w:val="-12"/>
              </w:rPr>
            </w:pPr>
            <w:r>
              <w:rPr>
                <w:rFonts w:hint="eastAsia"/>
              </w:rPr>
              <w:t>逐年上升</w:t>
            </w:r>
          </w:p>
        </w:tc>
        <w:tc>
          <w:tcPr>
            <w:tcW w:w="0" w:type="auto"/>
            <w:vAlign w:val="center"/>
          </w:tcPr>
          <w:p>
            <w:pPr>
              <w:pStyle w:val="54"/>
              <w:jc w:val="center"/>
              <w:rPr>
                <w:color w:val="000000"/>
                <w:spacing w:val="-12"/>
              </w:rPr>
            </w:pPr>
            <w:r>
              <w:rPr>
                <w:rFonts w:hint="eastAsia"/>
              </w:rPr>
              <w:t>逐年上升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9" w:type="dxa"/>
            <w:vMerge w:val="restart"/>
            <w:vAlign w:val="center"/>
          </w:tcPr>
          <w:p>
            <w:pPr>
              <w:pStyle w:val="54"/>
              <w:jc w:val="center"/>
            </w:pPr>
            <w:r>
              <w:rPr>
                <w:rFonts w:hint="eastAsia"/>
              </w:rPr>
              <w:t>生态安全</w:t>
            </w:r>
          </w:p>
        </w:tc>
        <w:tc>
          <w:tcPr>
            <w:tcW w:w="709" w:type="dxa"/>
            <w:vMerge w:val="restart"/>
            <w:vAlign w:val="center"/>
          </w:tcPr>
          <w:p>
            <w:pPr>
              <w:pStyle w:val="54"/>
              <w:jc w:val="center"/>
            </w:pPr>
            <w:r>
              <w:rPr>
                <w:rFonts w:hint="eastAsia"/>
              </w:rPr>
              <w:t>（二）生态环境质量改善</w:t>
            </w:r>
          </w:p>
        </w:tc>
        <w:tc>
          <w:tcPr>
            <w:tcW w:w="425" w:type="dxa"/>
            <w:vAlign w:val="center"/>
          </w:tcPr>
          <w:p>
            <w:pPr>
              <w:pStyle w:val="54"/>
              <w:jc w:val="center"/>
            </w:pPr>
            <w:r>
              <w:rPr>
                <w:rFonts w:hint="eastAsia"/>
              </w:rPr>
              <w:t>8</w:t>
            </w:r>
          </w:p>
        </w:tc>
        <w:tc>
          <w:tcPr>
            <w:tcW w:w="2693" w:type="dxa"/>
            <w:vAlign w:val="center"/>
          </w:tcPr>
          <w:p>
            <w:pPr>
              <w:pStyle w:val="54"/>
              <w:jc w:val="center"/>
            </w:pPr>
            <w:r>
              <w:rPr>
                <w:rFonts w:hint="eastAsia"/>
              </w:rPr>
              <w:t>环境空气质量：</w:t>
            </w:r>
          </w:p>
          <w:p>
            <w:pPr>
              <w:pStyle w:val="54"/>
              <w:jc w:val="center"/>
            </w:pPr>
            <w:r>
              <w:rPr>
                <w:rFonts w:hint="eastAsia" w:cs="宋体"/>
              </w:rPr>
              <w:t>①</w:t>
            </w:r>
            <w:r>
              <w:rPr>
                <w:rFonts w:hint="eastAsia"/>
              </w:rPr>
              <w:t>优良天数比例</w:t>
            </w:r>
          </w:p>
          <w:p>
            <w:pPr>
              <w:pStyle w:val="54"/>
              <w:jc w:val="center"/>
            </w:pPr>
            <w:r>
              <w:rPr>
                <w:rFonts w:hint="eastAsia" w:cs="宋体"/>
              </w:rPr>
              <w:t>②</w:t>
            </w:r>
            <w:r>
              <w:rPr>
                <w:rFonts w:hint="eastAsia"/>
              </w:rPr>
              <w:t>PM</w:t>
            </w:r>
            <w:r>
              <w:rPr>
                <w:rFonts w:hint="eastAsia"/>
                <w:vertAlign w:val="subscript"/>
              </w:rPr>
              <w:t>2.5</w:t>
            </w:r>
            <w:r>
              <w:rPr>
                <w:rFonts w:hint="eastAsia"/>
              </w:rPr>
              <w:t>浓度</w:t>
            </w:r>
          </w:p>
        </w:tc>
        <w:tc>
          <w:tcPr>
            <w:tcW w:w="567" w:type="dxa"/>
            <w:vAlign w:val="center"/>
          </w:tcPr>
          <w:p>
            <w:pPr>
              <w:pStyle w:val="54"/>
              <w:jc w:val="center"/>
            </w:pPr>
          </w:p>
          <w:p>
            <w:pPr>
              <w:pStyle w:val="54"/>
              <w:jc w:val="center"/>
            </w:pPr>
            <w:r>
              <w:rPr>
                <w:rFonts w:hint="eastAsia"/>
              </w:rPr>
              <w:t>%</w:t>
            </w:r>
          </w:p>
          <w:p>
            <w:pPr>
              <w:pStyle w:val="54"/>
              <w:jc w:val="center"/>
            </w:pPr>
            <w:r>
              <w:rPr>
                <w:rFonts w:hint="eastAsia"/>
              </w:rPr>
              <w:t>微克/立方米</w:t>
            </w:r>
          </w:p>
        </w:tc>
        <w:tc>
          <w:tcPr>
            <w:tcW w:w="1701" w:type="dxa"/>
            <w:vAlign w:val="center"/>
          </w:tcPr>
          <w:p>
            <w:pPr>
              <w:pStyle w:val="54"/>
              <w:jc w:val="center"/>
            </w:pPr>
            <w:r>
              <w:rPr>
                <w:rFonts w:hint="eastAsia"/>
              </w:rPr>
              <w:t>完成上级下达的</w:t>
            </w:r>
          </w:p>
          <w:p>
            <w:pPr>
              <w:pStyle w:val="54"/>
              <w:jc w:val="center"/>
            </w:pPr>
            <w:r>
              <w:rPr>
                <w:rFonts w:hint="eastAsia"/>
              </w:rPr>
              <w:t>年度目标</w:t>
            </w:r>
          </w:p>
        </w:tc>
        <w:tc>
          <w:tcPr>
            <w:tcW w:w="851" w:type="dxa"/>
            <w:vAlign w:val="center"/>
          </w:tcPr>
          <w:p>
            <w:pPr>
              <w:pStyle w:val="54"/>
              <w:jc w:val="center"/>
            </w:pPr>
            <w:r>
              <w:rPr>
                <w:rFonts w:hint="eastAsia"/>
              </w:rPr>
              <w:t>约束性</w:t>
            </w:r>
          </w:p>
        </w:tc>
        <w:tc>
          <w:tcPr>
            <w:tcW w:w="2707" w:type="dxa"/>
            <w:vAlign w:val="center"/>
          </w:tcPr>
          <w:p>
            <w:pPr>
              <w:pStyle w:val="54"/>
              <w:jc w:val="center"/>
            </w:pPr>
            <w:r>
              <w:rPr>
                <w:rFonts w:hint="eastAsia"/>
              </w:rPr>
              <w:t>①7</w:t>
            </w:r>
            <w:r>
              <w:t>9.5</w:t>
            </w:r>
            <w:r>
              <w:rPr>
                <w:rFonts w:hint="eastAsia"/>
              </w:rPr>
              <w:t>%，未完成上级规定的考核任务；</w:t>
            </w:r>
          </w:p>
          <w:p>
            <w:pPr>
              <w:pStyle w:val="54"/>
              <w:jc w:val="center"/>
            </w:pPr>
            <w:r>
              <w:rPr>
                <w:rFonts w:hint="eastAsia"/>
              </w:rPr>
              <w:t>②下降18.4%，完成上级规定的考核任务。。</w:t>
            </w:r>
          </w:p>
        </w:tc>
        <w:tc>
          <w:tcPr>
            <w:tcW w:w="0" w:type="auto"/>
            <w:vAlign w:val="center"/>
          </w:tcPr>
          <w:p>
            <w:pPr>
              <w:pStyle w:val="54"/>
              <w:numPr>
                <w:ilvl w:val="0"/>
                <w:numId w:val="8"/>
              </w:numPr>
              <w:jc w:val="center"/>
            </w:pPr>
            <w:r>
              <w:rPr>
                <w:rFonts w:hint="eastAsia"/>
              </w:rPr>
              <w:t>≥</w:t>
            </w:r>
            <w:r>
              <w:t>90</w:t>
            </w:r>
            <w:r>
              <w:rPr>
                <w:rFonts w:hint="eastAsia"/>
              </w:rPr>
              <w:t>%，完成上级规定的考核任务；</w:t>
            </w:r>
          </w:p>
          <w:p>
            <w:pPr>
              <w:pStyle w:val="54"/>
              <w:jc w:val="center"/>
              <w:rPr>
                <w:color w:val="000000"/>
              </w:rPr>
            </w:pPr>
            <w:r>
              <w:rPr>
                <w:rFonts w:hint="eastAsia" w:cs="宋体"/>
              </w:rPr>
              <w:t>②2</w:t>
            </w:r>
            <w:r>
              <w:rPr>
                <w:rFonts w:cs="宋体"/>
              </w:rPr>
              <w:t>5</w:t>
            </w:r>
            <w:r>
              <w:t>μg/m</w:t>
            </w:r>
            <w:r>
              <w:rPr>
                <w:vertAlign w:val="superscript"/>
              </w:rPr>
              <w:t>3</w:t>
            </w:r>
            <w:r>
              <w:rPr>
                <w:rFonts w:hint="eastAsia" w:cs="宋体"/>
              </w:rPr>
              <w:t>，</w:t>
            </w:r>
            <w:r>
              <w:rPr>
                <w:rFonts w:hint="eastAsia"/>
                <w:color w:val="000000"/>
              </w:rPr>
              <w:t>完成上级下达的年度目标</w:t>
            </w:r>
          </w:p>
        </w:tc>
        <w:tc>
          <w:tcPr>
            <w:tcW w:w="0" w:type="auto"/>
            <w:vAlign w:val="center"/>
          </w:tcPr>
          <w:p>
            <w:pPr>
              <w:pStyle w:val="54"/>
              <w:jc w:val="center"/>
            </w:pPr>
            <w:r>
              <w:rPr>
                <w:rFonts w:hint="eastAsia"/>
              </w:rPr>
              <w:t>①完成上级下达的年度目标</w:t>
            </w:r>
          </w:p>
          <w:p>
            <w:pPr>
              <w:pStyle w:val="54"/>
              <w:jc w:val="center"/>
              <w:rPr>
                <w:bCs/>
                <w:iCs/>
                <w:color w:val="000000"/>
                <w:spacing w:val="-12"/>
              </w:rPr>
            </w:pPr>
            <w:r>
              <w:rPr>
                <w:rFonts w:hint="eastAsia" w:cs="宋体"/>
              </w:rPr>
              <w:t>②</w:t>
            </w:r>
            <w:r>
              <w:rPr>
                <w:rFonts w:hint="eastAsia"/>
              </w:rPr>
              <w:t>完成上级下达的年度目标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9" w:type="dxa"/>
            <w:vMerge w:val="continue"/>
            <w:vAlign w:val="center"/>
          </w:tcPr>
          <w:p>
            <w:pPr>
              <w:pStyle w:val="54"/>
              <w:jc w:val="center"/>
            </w:pPr>
          </w:p>
        </w:tc>
        <w:tc>
          <w:tcPr>
            <w:tcW w:w="709" w:type="dxa"/>
            <w:vMerge w:val="continue"/>
            <w:vAlign w:val="center"/>
          </w:tcPr>
          <w:p>
            <w:pPr>
              <w:pStyle w:val="54"/>
              <w:jc w:val="center"/>
            </w:pPr>
          </w:p>
        </w:tc>
        <w:tc>
          <w:tcPr>
            <w:tcW w:w="425" w:type="dxa"/>
            <w:vAlign w:val="center"/>
          </w:tcPr>
          <w:p>
            <w:pPr>
              <w:pStyle w:val="54"/>
              <w:jc w:val="center"/>
            </w:pPr>
            <w:r>
              <w:rPr>
                <w:rFonts w:hint="eastAsia"/>
              </w:rPr>
              <w:t>9</w:t>
            </w:r>
          </w:p>
        </w:tc>
        <w:tc>
          <w:tcPr>
            <w:tcW w:w="2693" w:type="dxa"/>
            <w:vAlign w:val="center"/>
          </w:tcPr>
          <w:p>
            <w:pPr>
              <w:pStyle w:val="54"/>
              <w:jc w:val="center"/>
            </w:pPr>
            <w:r>
              <w:rPr>
                <w:rFonts w:hint="eastAsia"/>
              </w:rPr>
              <w:t>水环境质量：</w:t>
            </w:r>
          </w:p>
          <w:p>
            <w:pPr>
              <w:pStyle w:val="54"/>
              <w:jc w:val="center"/>
              <w:rPr>
                <w:spacing w:val="-10"/>
              </w:rPr>
            </w:pPr>
            <w:r>
              <w:rPr>
                <w:rFonts w:hint="eastAsia"/>
              </w:rPr>
              <w:fldChar w:fldCharType="begin"/>
            </w:r>
            <w:r>
              <w:rPr>
                <w:rFonts w:hint="eastAsia"/>
              </w:rPr>
              <w:instrText xml:space="preserve"> = 1 \* GB3 </w:instrText>
            </w:r>
            <w:r>
              <w:rPr>
                <w:rFonts w:hint="eastAsia"/>
              </w:rPr>
              <w:fldChar w:fldCharType="separate"/>
            </w:r>
            <w:r>
              <w:rPr>
                <w:rFonts w:hint="eastAsia" w:cs="宋体"/>
              </w:rPr>
              <w:t>①</w:t>
            </w:r>
            <w:r>
              <w:rPr>
                <w:rFonts w:hint="eastAsia"/>
              </w:rPr>
              <w:fldChar w:fldCharType="end"/>
            </w:r>
            <w:r>
              <w:rPr>
                <w:rFonts w:hint="eastAsia"/>
              </w:rPr>
              <w:t>地表水环境质量</w:t>
            </w:r>
            <w:r>
              <w:rPr>
                <w:rFonts w:hint="eastAsia"/>
                <w:spacing w:val="-10"/>
              </w:rPr>
              <w:t>达到或优于III类水质比例</w:t>
            </w:r>
          </w:p>
          <w:p>
            <w:pPr>
              <w:pStyle w:val="54"/>
              <w:jc w:val="center"/>
            </w:pPr>
            <w:r>
              <w:rPr>
                <w:rFonts w:hint="eastAsia" w:cs="宋体"/>
              </w:rPr>
              <w:t>②Ⅴ</w:t>
            </w:r>
            <w:r>
              <w:rPr>
                <w:rFonts w:hint="eastAsia"/>
              </w:rPr>
              <w:t>类水体比例</w:t>
            </w:r>
          </w:p>
        </w:tc>
        <w:tc>
          <w:tcPr>
            <w:tcW w:w="567" w:type="dxa"/>
            <w:vAlign w:val="center"/>
          </w:tcPr>
          <w:p>
            <w:pPr>
              <w:pStyle w:val="54"/>
              <w:jc w:val="center"/>
            </w:pPr>
            <w:r>
              <w:rPr>
                <w:rFonts w:hint="eastAsia"/>
              </w:rPr>
              <w:t>%</w:t>
            </w:r>
          </w:p>
          <w:p>
            <w:pPr>
              <w:pStyle w:val="54"/>
              <w:jc w:val="center"/>
            </w:pPr>
          </w:p>
          <w:p>
            <w:pPr>
              <w:pStyle w:val="54"/>
              <w:jc w:val="center"/>
            </w:pPr>
          </w:p>
          <w:p>
            <w:pPr>
              <w:pStyle w:val="54"/>
              <w:jc w:val="center"/>
            </w:pPr>
            <w:r>
              <w:rPr>
                <w:rFonts w:hint="eastAsia"/>
              </w:rPr>
              <w:t>%</w:t>
            </w:r>
          </w:p>
        </w:tc>
        <w:tc>
          <w:tcPr>
            <w:tcW w:w="1701" w:type="dxa"/>
            <w:vAlign w:val="center"/>
          </w:tcPr>
          <w:p>
            <w:pPr>
              <w:pStyle w:val="54"/>
              <w:jc w:val="center"/>
            </w:pPr>
          </w:p>
          <w:p>
            <w:pPr>
              <w:pStyle w:val="54"/>
              <w:jc w:val="center"/>
            </w:pPr>
            <w:r>
              <w:rPr>
                <w:rFonts w:hint="eastAsia"/>
              </w:rPr>
              <w:t>≥85，或持续提高且提高幅度大于全省平均值</w:t>
            </w:r>
          </w:p>
          <w:p>
            <w:pPr>
              <w:pStyle w:val="54"/>
              <w:jc w:val="center"/>
            </w:pPr>
            <w:r>
              <w:rPr>
                <w:rFonts w:hint="eastAsia"/>
              </w:rPr>
              <w:t>小于等于全省平均值，</w:t>
            </w:r>
            <w:r>
              <w:rPr>
                <w:rFonts w:hint="eastAsia"/>
                <w:spacing w:val="-10"/>
              </w:rPr>
              <w:t>或</w:t>
            </w:r>
            <w:r>
              <w:rPr>
                <w:rFonts w:hint="eastAsia"/>
              </w:rPr>
              <w:t>持续下降</w:t>
            </w:r>
          </w:p>
        </w:tc>
        <w:tc>
          <w:tcPr>
            <w:tcW w:w="851" w:type="dxa"/>
            <w:vAlign w:val="center"/>
          </w:tcPr>
          <w:p>
            <w:pPr>
              <w:pStyle w:val="54"/>
              <w:jc w:val="center"/>
            </w:pPr>
            <w:r>
              <w:rPr>
                <w:rFonts w:hint="eastAsia"/>
              </w:rPr>
              <w:t>约束性</w:t>
            </w:r>
          </w:p>
        </w:tc>
        <w:tc>
          <w:tcPr>
            <w:tcW w:w="2707" w:type="dxa"/>
            <w:vAlign w:val="center"/>
          </w:tcPr>
          <w:p>
            <w:pPr>
              <w:pStyle w:val="54"/>
              <w:jc w:val="center"/>
            </w:pPr>
            <w:r>
              <w:rPr>
                <w:rFonts w:hint="eastAsia"/>
              </w:rPr>
              <w:fldChar w:fldCharType="begin"/>
            </w:r>
            <w:r>
              <w:rPr>
                <w:rFonts w:hint="eastAsia"/>
              </w:rPr>
              <w:instrText xml:space="preserve"> = 1 \* GB3 </w:instrText>
            </w:r>
            <w:r>
              <w:rPr>
                <w:rFonts w:hint="eastAsia"/>
              </w:rPr>
              <w:fldChar w:fldCharType="separate"/>
            </w:r>
            <w:r>
              <w:rPr>
                <w:rFonts w:hint="eastAsia"/>
              </w:rPr>
              <w:t>①</w:t>
            </w:r>
            <w:r>
              <w:rPr>
                <w:rFonts w:hint="eastAsia"/>
              </w:rPr>
              <w:fldChar w:fldCharType="end"/>
            </w:r>
            <w:r>
              <w:rPr>
                <w:rFonts w:hint="eastAsia"/>
              </w:rPr>
              <w:t>水质优良率100%；</w:t>
            </w:r>
          </w:p>
          <w:p>
            <w:pPr>
              <w:pStyle w:val="54"/>
              <w:jc w:val="center"/>
            </w:pPr>
            <w:r>
              <w:rPr>
                <w:rFonts w:hint="eastAsia"/>
              </w:rPr>
              <w:t>②Ⅴ类水体比例0%。</w:t>
            </w:r>
          </w:p>
        </w:tc>
        <w:tc>
          <w:tcPr>
            <w:tcW w:w="0" w:type="auto"/>
            <w:vAlign w:val="center"/>
          </w:tcPr>
          <w:p>
            <w:pPr>
              <w:pStyle w:val="54"/>
              <w:jc w:val="center"/>
            </w:pPr>
            <w:r>
              <w:rPr>
                <w:rFonts w:hint="eastAsia"/>
              </w:rPr>
              <w:fldChar w:fldCharType="begin"/>
            </w:r>
            <w:r>
              <w:rPr>
                <w:rFonts w:hint="eastAsia"/>
              </w:rPr>
              <w:instrText xml:space="preserve"> = 1 \* GB3 </w:instrText>
            </w:r>
            <w:r>
              <w:rPr>
                <w:rFonts w:hint="eastAsia"/>
              </w:rPr>
              <w:fldChar w:fldCharType="separate"/>
            </w:r>
            <w:r>
              <w:rPr>
                <w:rFonts w:hint="eastAsia" w:cs="宋体"/>
              </w:rPr>
              <w:t>①</w:t>
            </w:r>
            <w:r>
              <w:rPr>
                <w:rFonts w:hint="eastAsia"/>
              </w:rPr>
              <w:fldChar w:fldCharType="end"/>
            </w:r>
            <w:r>
              <w:rPr>
                <w:rFonts w:hint="eastAsia"/>
              </w:rPr>
              <w:t>1</w:t>
            </w:r>
            <w:r>
              <w:t>00</w:t>
            </w:r>
            <w:r>
              <w:rPr>
                <w:rFonts w:hint="eastAsia"/>
              </w:rPr>
              <w:t>%，或持续提高且提高幅度大于全省平均值</w:t>
            </w:r>
          </w:p>
          <w:p>
            <w:pPr>
              <w:pStyle w:val="54"/>
              <w:jc w:val="center"/>
              <w:rPr>
                <w:color w:val="000000"/>
                <w:spacing w:val="-12"/>
              </w:rPr>
            </w:pPr>
            <w:r>
              <w:rPr>
                <w:rFonts w:hint="eastAsia" w:cs="宋体"/>
              </w:rPr>
              <w:t>②</w:t>
            </w:r>
            <w:r>
              <w:rPr>
                <w:rFonts w:hint="eastAsia"/>
              </w:rPr>
              <w:t>小于等于全省平均值，</w:t>
            </w:r>
            <w:r>
              <w:rPr>
                <w:rFonts w:hint="eastAsia"/>
                <w:spacing w:val="-10"/>
              </w:rPr>
              <w:t>或</w:t>
            </w:r>
            <w:r>
              <w:rPr>
                <w:rFonts w:hint="eastAsia"/>
              </w:rPr>
              <w:t>持续下降</w:t>
            </w:r>
          </w:p>
        </w:tc>
        <w:tc>
          <w:tcPr>
            <w:tcW w:w="0" w:type="auto"/>
            <w:vAlign w:val="center"/>
          </w:tcPr>
          <w:p>
            <w:pPr>
              <w:pStyle w:val="54"/>
              <w:jc w:val="center"/>
            </w:pPr>
            <w:r>
              <w:rPr>
                <w:rFonts w:hint="eastAsia"/>
              </w:rPr>
              <w:fldChar w:fldCharType="begin"/>
            </w:r>
            <w:r>
              <w:rPr>
                <w:rFonts w:hint="eastAsia"/>
              </w:rPr>
              <w:instrText xml:space="preserve"> = 1 \* GB3 </w:instrText>
            </w:r>
            <w:r>
              <w:rPr>
                <w:rFonts w:hint="eastAsia"/>
              </w:rPr>
              <w:fldChar w:fldCharType="separate"/>
            </w:r>
            <w:r>
              <w:rPr>
                <w:rFonts w:hint="eastAsia" w:cs="宋体"/>
              </w:rPr>
              <w:t>①</w:t>
            </w:r>
            <w:r>
              <w:rPr>
                <w:rFonts w:hint="eastAsia"/>
              </w:rPr>
              <w:fldChar w:fldCharType="end"/>
            </w:r>
            <w:r>
              <w:rPr>
                <w:rFonts w:hint="eastAsia"/>
              </w:rPr>
              <w:t>1</w:t>
            </w:r>
            <w:r>
              <w:t>00</w:t>
            </w:r>
            <w:r>
              <w:rPr>
                <w:rFonts w:hint="eastAsia"/>
              </w:rPr>
              <w:t>%，或持续提高且提高幅度大于全省平均值</w:t>
            </w:r>
          </w:p>
          <w:p>
            <w:pPr>
              <w:pStyle w:val="54"/>
              <w:jc w:val="center"/>
              <w:rPr>
                <w:bCs/>
                <w:iCs/>
                <w:color w:val="000000"/>
                <w:spacing w:val="-12"/>
              </w:rPr>
            </w:pPr>
            <w:r>
              <w:rPr>
                <w:rFonts w:hint="eastAsia" w:cs="宋体"/>
              </w:rPr>
              <w:t>②</w:t>
            </w:r>
            <w:r>
              <w:rPr>
                <w:rFonts w:hint="eastAsia"/>
              </w:rPr>
              <w:t>小于等于全省平均值，</w:t>
            </w:r>
            <w:r>
              <w:rPr>
                <w:rFonts w:hint="eastAsia"/>
                <w:spacing w:val="-10"/>
              </w:rPr>
              <w:t>或</w:t>
            </w:r>
            <w:r>
              <w:rPr>
                <w:rFonts w:hint="eastAsia"/>
              </w:rPr>
              <w:t>持续下降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9" w:type="dxa"/>
            <w:vMerge w:val="continue"/>
            <w:vAlign w:val="center"/>
          </w:tcPr>
          <w:p>
            <w:pPr>
              <w:pStyle w:val="54"/>
              <w:jc w:val="center"/>
            </w:pPr>
          </w:p>
        </w:tc>
        <w:tc>
          <w:tcPr>
            <w:tcW w:w="709" w:type="dxa"/>
            <w:vMerge w:val="continue"/>
            <w:vAlign w:val="center"/>
          </w:tcPr>
          <w:p>
            <w:pPr>
              <w:pStyle w:val="54"/>
              <w:jc w:val="center"/>
            </w:pPr>
          </w:p>
        </w:tc>
        <w:tc>
          <w:tcPr>
            <w:tcW w:w="425" w:type="dxa"/>
            <w:vAlign w:val="center"/>
          </w:tcPr>
          <w:p>
            <w:pPr>
              <w:pStyle w:val="54"/>
              <w:jc w:val="center"/>
            </w:pPr>
            <w:r>
              <w:rPr>
                <w:rFonts w:hint="eastAsia"/>
              </w:rPr>
              <w:t>1</w:t>
            </w:r>
            <w:r>
              <w:t>0</w:t>
            </w:r>
          </w:p>
        </w:tc>
        <w:tc>
          <w:tcPr>
            <w:tcW w:w="2693" w:type="dxa"/>
            <w:vAlign w:val="center"/>
          </w:tcPr>
          <w:p>
            <w:pPr>
              <w:pStyle w:val="54"/>
              <w:jc w:val="center"/>
            </w:pPr>
            <w:r>
              <w:rPr>
                <w:rFonts w:hint="eastAsia"/>
              </w:rPr>
              <w:t>近岸海域水质优良（一二三类）比例（沿海地区）</w:t>
            </w:r>
          </w:p>
        </w:tc>
        <w:tc>
          <w:tcPr>
            <w:tcW w:w="567" w:type="dxa"/>
            <w:vAlign w:val="center"/>
          </w:tcPr>
          <w:p>
            <w:pPr>
              <w:pStyle w:val="54"/>
              <w:jc w:val="center"/>
            </w:pPr>
            <w:r>
              <w:rPr>
                <w:rFonts w:hint="eastAsia"/>
              </w:rPr>
              <w:t>%</w:t>
            </w:r>
          </w:p>
        </w:tc>
        <w:tc>
          <w:tcPr>
            <w:tcW w:w="1701" w:type="dxa"/>
            <w:vAlign w:val="center"/>
          </w:tcPr>
          <w:p>
            <w:pPr>
              <w:pStyle w:val="54"/>
              <w:jc w:val="center"/>
            </w:pPr>
            <w:r>
              <w:rPr>
                <w:rFonts w:hint="eastAsia"/>
              </w:rPr>
              <w:t>完成上级规定的考核</w:t>
            </w:r>
          </w:p>
          <w:p>
            <w:pPr>
              <w:pStyle w:val="54"/>
              <w:jc w:val="center"/>
            </w:pPr>
            <w:r>
              <w:rPr>
                <w:rFonts w:hint="eastAsia"/>
              </w:rPr>
              <w:t>任务；已达标地区</w:t>
            </w:r>
          </w:p>
          <w:p>
            <w:pPr>
              <w:pStyle w:val="54"/>
              <w:jc w:val="center"/>
            </w:pPr>
            <w:r>
              <w:rPr>
                <w:rFonts w:hint="eastAsia"/>
              </w:rPr>
              <w:t>保持稳定，未达标</w:t>
            </w:r>
          </w:p>
          <w:p>
            <w:pPr>
              <w:pStyle w:val="54"/>
              <w:jc w:val="center"/>
            </w:pPr>
            <w:r>
              <w:rPr>
                <w:rFonts w:hint="eastAsia"/>
              </w:rPr>
              <w:t>地区持续改善</w:t>
            </w:r>
          </w:p>
        </w:tc>
        <w:tc>
          <w:tcPr>
            <w:tcW w:w="851" w:type="dxa"/>
            <w:vAlign w:val="center"/>
          </w:tcPr>
          <w:p>
            <w:pPr>
              <w:pStyle w:val="54"/>
              <w:jc w:val="center"/>
            </w:pPr>
            <w:r>
              <w:rPr>
                <w:rFonts w:hint="eastAsia"/>
              </w:rPr>
              <w:t>约束性</w:t>
            </w:r>
          </w:p>
        </w:tc>
        <w:tc>
          <w:tcPr>
            <w:tcW w:w="2707" w:type="dxa"/>
            <w:vAlign w:val="center"/>
          </w:tcPr>
          <w:p>
            <w:pPr>
              <w:pStyle w:val="54"/>
              <w:jc w:val="center"/>
            </w:pPr>
            <w:r>
              <w:rPr>
                <w:rFonts w:hint="eastAsia"/>
              </w:rPr>
              <w:t>-</w:t>
            </w:r>
          </w:p>
        </w:tc>
        <w:tc>
          <w:tcPr>
            <w:tcW w:w="0" w:type="auto"/>
            <w:vAlign w:val="center"/>
          </w:tcPr>
          <w:p>
            <w:pPr>
              <w:pStyle w:val="54"/>
              <w:jc w:val="center"/>
            </w:pPr>
            <w:r>
              <w:rPr>
                <w:rFonts w:hint="eastAsia"/>
              </w:rPr>
              <w:t>-</w:t>
            </w:r>
          </w:p>
        </w:tc>
        <w:tc>
          <w:tcPr>
            <w:tcW w:w="0" w:type="auto"/>
            <w:vAlign w:val="center"/>
          </w:tcPr>
          <w:p>
            <w:pPr>
              <w:pStyle w:val="54"/>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9" w:type="dxa"/>
            <w:vMerge w:val="continue"/>
            <w:vAlign w:val="center"/>
          </w:tcPr>
          <w:p>
            <w:pPr>
              <w:pStyle w:val="54"/>
              <w:jc w:val="center"/>
            </w:pPr>
          </w:p>
        </w:tc>
        <w:tc>
          <w:tcPr>
            <w:tcW w:w="709" w:type="dxa"/>
            <w:vMerge w:val="restart"/>
            <w:vAlign w:val="center"/>
          </w:tcPr>
          <w:p>
            <w:pPr>
              <w:pStyle w:val="54"/>
              <w:jc w:val="center"/>
            </w:pPr>
            <w:r>
              <w:rPr>
                <w:rFonts w:hint="eastAsia"/>
              </w:rPr>
              <w:t>（三）生态系统保护</w:t>
            </w:r>
          </w:p>
        </w:tc>
        <w:tc>
          <w:tcPr>
            <w:tcW w:w="425" w:type="dxa"/>
            <w:vAlign w:val="center"/>
          </w:tcPr>
          <w:p>
            <w:pPr>
              <w:pStyle w:val="54"/>
              <w:jc w:val="center"/>
            </w:pPr>
            <w:r>
              <w:rPr>
                <w:rFonts w:hint="eastAsia"/>
              </w:rPr>
              <w:t>11</w:t>
            </w:r>
          </w:p>
        </w:tc>
        <w:tc>
          <w:tcPr>
            <w:tcW w:w="2693" w:type="dxa"/>
            <w:vAlign w:val="center"/>
          </w:tcPr>
          <w:p>
            <w:pPr>
              <w:pStyle w:val="54"/>
              <w:jc w:val="center"/>
              <w:rPr>
                <w:spacing w:val="-10"/>
              </w:rPr>
            </w:pPr>
            <w:r>
              <w:rPr>
                <w:rFonts w:hint="eastAsia"/>
              </w:rPr>
              <w:t>生态环境状况指数（EI）</w:t>
            </w:r>
          </w:p>
        </w:tc>
        <w:tc>
          <w:tcPr>
            <w:tcW w:w="567" w:type="dxa"/>
            <w:vAlign w:val="center"/>
          </w:tcPr>
          <w:p>
            <w:pPr>
              <w:pStyle w:val="54"/>
              <w:jc w:val="center"/>
              <w:rPr>
                <w:spacing w:val="-10"/>
              </w:rPr>
            </w:pPr>
            <w:r>
              <w:rPr>
                <w:rFonts w:hint="eastAsia"/>
              </w:rPr>
              <w:t>%</w:t>
            </w:r>
          </w:p>
        </w:tc>
        <w:tc>
          <w:tcPr>
            <w:tcW w:w="1701" w:type="dxa"/>
            <w:vAlign w:val="center"/>
          </w:tcPr>
          <w:p>
            <w:pPr>
              <w:pStyle w:val="54"/>
              <w:jc w:val="center"/>
              <w:rPr>
                <w:spacing w:val="-10"/>
              </w:rPr>
            </w:pPr>
            <w:r>
              <w:rPr>
                <w:rFonts w:hint="eastAsia"/>
              </w:rPr>
              <w:t>≥60</w:t>
            </w:r>
          </w:p>
        </w:tc>
        <w:tc>
          <w:tcPr>
            <w:tcW w:w="851" w:type="dxa"/>
            <w:vAlign w:val="center"/>
          </w:tcPr>
          <w:p>
            <w:pPr>
              <w:pStyle w:val="54"/>
              <w:jc w:val="center"/>
            </w:pPr>
            <w:r>
              <w:rPr>
                <w:rFonts w:hint="eastAsia"/>
              </w:rPr>
              <w:t>参考性</w:t>
            </w:r>
          </w:p>
        </w:tc>
        <w:tc>
          <w:tcPr>
            <w:tcW w:w="2707" w:type="dxa"/>
            <w:vAlign w:val="center"/>
          </w:tcPr>
          <w:p>
            <w:pPr>
              <w:pStyle w:val="54"/>
              <w:jc w:val="center"/>
            </w:pPr>
            <w:r>
              <w:t>66.2</w:t>
            </w:r>
            <w:r>
              <w:rPr>
                <w:rFonts w:hint="eastAsia"/>
                <w:szCs w:val="24"/>
                <w:vertAlign w:val="superscript"/>
              </w:rPr>
              <w:t>1</w:t>
            </w:r>
          </w:p>
        </w:tc>
        <w:tc>
          <w:tcPr>
            <w:tcW w:w="0" w:type="auto"/>
            <w:vAlign w:val="center"/>
          </w:tcPr>
          <w:p>
            <w:pPr>
              <w:pStyle w:val="54"/>
              <w:jc w:val="center"/>
            </w:pPr>
            <w:r>
              <w:rPr>
                <w:rFonts w:hint="eastAsia"/>
              </w:rPr>
              <w:t>持续提高</w:t>
            </w:r>
          </w:p>
        </w:tc>
        <w:tc>
          <w:tcPr>
            <w:tcW w:w="0" w:type="auto"/>
            <w:vAlign w:val="center"/>
          </w:tcPr>
          <w:p>
            <w:pPr>
              <w:pStyle w:val="54"/>
              <w:jc w:val="center"/>
            </w:pPr>
            <w:r>
              <w:rPr>
                <w:rFonts w:hint="eastAsia"/>
              </w:rPr>
              <w:t>持续提高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9" w:type="dxa"/>
            <w:vMerge w:val="continue"/>
            <w:vAlign w:val="center"/>
          </w:tcPr>
          <w:p>
            <w:pPr>
              <w:pStyle w:val="54"/>
              <w:jc w:val="center"/>
            </w:pPr>
          </w:p>
        </w:tc>
        <w:tc>
          <w:tcPr>
            <w:tcW w:w="709" w:type="dxa"/>
            <w:vMerge w:val="continue"/>
            <w:vAlign w:val="center"/>
          </w:tcPr>
          <w:p>
            <w:pPr>
              <w:pStyle w:val="54"/>
              <w:jc w:val="center"/>
            </w:pPr>
          </w:p>
        </w:tc>
        <w:tc>
          <w:tcPr>
            <w:tcW w:w="425" w:type="dxa"/>
            <w:vAlign w:val="center"/>
          </w:tcPr>
          <w:p>
            <w:pPr>
              <w:pStyle w:val="54"/>
              <w:jc w:val="center"/>
            </w:pPr>
            <w:r>
              <w:rPr>
                <w:rFonts w:hint="eastAsia"/>
              </w:rPr>
              <w:t>12</w:t>
            </w:r>
          </w:p>
        </w:tc>
        <w:tc>
          <w:tcPr>
            <w:tcW w:w="2693" w:type="dxa"/>
            <w:vAlign w:val="center"/>
          </w:tcPr>
          <w:p>
            <w:pPr>
              <w:pStyle w:val="54"/>
              <w:jc w:val="center"/>
              <w:rPr>
                <w:spacing w:val="-6"/>
              </w:rPr>
            </w:pPr>
            <w:r>
              <w:rPr>
                <w:rFonts w:hint="eastAsia"/>
              </w:rPr>
              <w:t>森林覆盖率（平原地区）</w:t>
            </w:r>
          </w:p>
        </w:tc>
        <w:tc>
          <w:tcPr>
            <w:tcW w:w="567" w:type="dxa"/>
            <w:vAlign w:val="center"/>
          </w:tcPr>
          <w:p>
            <w:pPr>
              <w:pStyle w:val="54"/>
              <w:jc w:val="center"/>
            </w:pPr>
            <w:r>
              <w:rPr>
                <w:rFonts w:hint="eastAsia"/>
              </w:rPr>
              <w:t>%</w:t>
            </w:r>
          </w:p>
        </w:tc>
        <w:tc>
          <w:tcPr>
            <w:tcW w:w="1701" w:type="dxa"/>
            <w:vAlign w:val="center"/>
          </w:tcPr>
          <w:p>
            <w:pPr>
              <w:pStyle w:val="54"/>
              <w:jc w:val="center"/>
            </w:pPr>
            <w:r>
              <w:rPr>
                <w:rFonts w:hint="eastAsia"/>
              </w:rPr>
              <w:t>≥19</w:t>
            </w:r>
          </w:p>
        </w:tc>
        <w:tc>
          <w:tcPr>
            <w:tcW w:w="851" w:type="dxa"/>
            <w:vAlign w:val="center"/>
          </w:tcPr>
          <w:p>
            <w:pPr>
              <w:pStyle w:val="54"/>
              <w:jc w:val="center"/>
            </w:pPr>
            <w:r>
              <w:rPr>
                <w:rFonts w:hint="eastAsia"/>
              </w:rPr>
              <w:t>参考性</w:t>
            </w:r>
          </w:p>
        </w:tc>
        <w:tc>
          <w:tcPr>
            <w:tcW w:w="2707" w:type="dxa"/>
            <w:vAlign w:val="center"/>
          </w:tcPr>
          <w:p>
            <w:pPr>
              <w:pStyle w:val="54"/>
              <w:jc w:val="center"/>
            </w:pPr>
            <w:r>
              <w:rPr>
                <w:rFonts w:hint="eastAsia"/>
              </w:rPr>
              <w:t>26.0</w:t>
            </w:r>
            <w:r>
              <w:t>8</w:t>
            </w:r>
          </w:p>
        </w:tc>
        <w:tc>
          <w:tcPr>
            <w:tcW w:w="0" w:type="auto"/>
            <w:vAlign w:val="center"/>
          </w:tcPr>
          <w:p>
            <w:pPr>
              <w:pStyle w:val="54"/>
              <w:jc w:val="center"/>
            </w:pPr>
            <w:r>
              <w:rPr>
                <w:rFonts w:hint="eastAsia"/>
              </w:rPr>
              <w:t>2</w:t>
            </w:r>
            <w:r>
              <w:t>6.5</w:t>
            </w:r>
          </w:p>
        </w:tc>
        <w:tc>
          <w:tcPr>
            <w:tcW w:w="0" w:type="auto"/>
            <w:vAlign w:val="center"/>
          </w:tcPr>
          <w:p>
            <w:pPr>
              <w:pStyle w:val="54"/>
              <w:jc w:val="center"/>
            </w:pPr>
            <w:r>
              <w:rPr>
                <w:rFonts w:hint="eastAsia"/>
              </w:rPr>
              <w:t>持续提高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9" w:type="dxa"/>
            <w:vMerge w:val="continue"/>
            <w:vAlign w:val="center"/>
          </w:tcPr>
          <w:p>
            <w:pPr>
              <w:pStyle w:val="54"/>
              <w:jc w:val="center"/>
            </w:pPr>
          </w:p>
        </w:tc>
        <w:tc>
          <w:tcPr>
            <w:tcW w:w="709" w:type="dxa"/>
            <w:vMerge w:val="continue"/>
            <w:vAlign w:val="center"/>
          </w:tcPr>
          <w:p>
            <w:pPr>
              <w:pStyle w:val="54"/>
              <w:jc w:val="center"/>
            </w:pPr>
          </w:p>
        </w:tc>
        <w:tc>
          <w:tcPr>
            <w:tcW w:w="425" w:type="dxa"/>
            <w:vAlign w:val="center"/>
          </w:tcPr>
          <w:p>
            <w:pPr>
              <w:pStyle w:val="54"/>
              <w:jc w:val="center"/>
            </w:pPr>
            <w:r>
              <w:rPr>
                <w:rFonts w:hint="eastAsia"/>
              </w:rPr>
              <w:t>13</w:t>
            </w:r>
          </w:p>
        </w:tc>
        <w:tc>
          <w:tcPr>
            <w:tcW w:w="2693" w:type="dxa"/>
            <w:vAlign w:val="center"/>
          </w:tcPr>
          <w:p>
            <w:pPr>
              <w:pStyle w:val="54"/>
              <w:jc w:val="center"/>
            </w:pPr>
            <w:r>
              <w:rPr>
                <w:rFonts w:hint="eastAsia"/>
              </w:rPr>
              <w:t>乔木林单位面积蓄积量年增量</w:t>
            </w:r>
          </w:p>
        </w:tc>
        <w:tc>
          <w:tcPr>
            <w:tcW w:w="567" w:type="dxa"/>
            <w:vAlign w:val="center"/>
          </w:tcPr>
          <w:p>
            <w:pPr>
              <w:pStyle w:val="54"/>
              <w:jc w:val="center"/>
            </w:pPr>
            <w:r>
              <w:rPr>
                <w:rFonts w:hint="eastAsia"/>
              </w:rPr>
              <w:t>立方米/公顷</w:t>
            </w:r>
          </w:p>
        </w:tc>
        <w:tc>
          <w:tcPr>
            <w:tcW w:w="1701" w:type="dxa"/>
            <w:vAlign w:val="center"/>
          </w:tcPr>
          <w:p>
            <w:pPr>
              <w:pStyle w:val="54"/>
              <w:jc w:val="center"/>
            </w:pPr>
            <w:r>
              <w:rPr>
                <w:rFonts w:hint="eastAsia"/>
              </w:rPr>
              <w:t>逐年提高</w:t>
            </w:r>
          </w:p>
        </w:tc>
        <w:tc>
          <w:tcPr>
            <w:tcW w:w="851" w:type="dxa"/>
            <w:vAlign w:val="center"/>
          </w:tcPr>
          <w:p>
            <w:pPr>
              <w:pStyle w:val="54"/>
              <w:jc w:val="center"/>
            </w:pPr>
            <w:r>
              <w:rPr>
                <w:rFonts w:hint="eastAsia"/>
              </w:rPr>
              <w:t>参考性</w:t>
            </w:r>
          </w:p>
        </w:tc>
        <w:tc>
          <w:tcPr>
            <w:tcW w:w="2707" w:type="dxa"/>
            <w:vAlign w:val="center"/>
          </w:tcPr>
          <w:p>
            <w:pPr>
              <w:pStyle w:val="54"/>
              <w:jc w:val="center"/>
            </w:pPr>
            <w:r>
              <w:t>3</w:t>
            </w:r>
          </w:p>
        </w:tc>
        <w:tc>
          <w:tcPr>
            <w:tcW w:w="0" w:type="auto"/>
            <w:vAlign w:val="center"/>
          </w:tcPr>
          <w:p>
            <w:pPr>
              <w:pStyle w:val="54"/>
              <w:jc w:val="center"/>
              <w:rPr>
                <w:color w:val="000000"/>
                <w:spacing w:val="-12"/>
              </w:rPr>
            </w:pPr>
            <w:r>
              <w:rPr>
                <w:rFonts w:hint="eastAsia"/>
              </w:rPr>
              <w:t>逐年提高</w:t>
            </w:r>
          </w:p>
        </w:tc>
        <w:tc>
          <w:tcPr>
            <w:tcW w:w="0" w:type="auto"/>
            <w:vAlign w:val="center"/>
          </w:tcPr>
          <w:p>
            <w:pPr>
              <w:pStyle w:val="54"/>
              <w:jc w:val="center"/>
              <w:rPr>
                <w:color w:val="000000"/>
                <w:spacing w:val="-12"/>
              </w:rPr>
            </w:pPr>
            <w:r>
              <w:rPr>
                <w:rFonts w:hint="eastAsia"/>
              </w:rPr>
              <w:t>逐年提高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9" w:type="dxa"/>
            <w:vMerge w:val="continue"/>
            <w:vAlign w:val="center"/>
          </w:tcPr>
          <w:p>
            <w:pPr>
              <w:pStyle w:val="54"/>
              <w:jc w:val="center"/>
            </w:pPr>
          </w:p>
        </w:tc>
        <w:tc>
          <w:tcPr>
            <w:tcW w:w="709" w:type="dxa"/>
            <w:vMerge w:val="continue"/>
            <w:vAlign w:val="center"/>
          </w:tcPr>
          <w:p>
            <w:pPr>
              <w:pStyle w:val="54"/>
              <w:jc w:val="center"/>
            </w:pPr>
          </w:p>
        </w:tc>
        <w:tc>
          <w:tcPr>
            <w:tcW w:w="425" w:type="dxa"/>
            <w:vAlign w:val="center"/>
          </w:tcPr>
          <w:p>
            <w:pPr>
              <w:pStyle w:val="54"/>
              <w:jc w:val="center"/>
            </w:pPr>
            <w:r>
              <w:rPr>
                <w:rFonts w:hint="eastAsia"/>
              </w:rPr>
              <w:t>14</w:t>
            </w:r>
          </w:p>
        </w:tc>
        <w:tc>
          <w:tcPr>
            <w:tcW w:w="2693" w:type="dxa"/>
            <w:vAlign w:val="center"/>
          </w:tcPr>
          <w:p>
            <w:pPr>
              <w:pStyle w:val="54"/>
              <w:jc w:val="center"/>
            </w:pPr>
            <w:r>
              <w:rPr>
                <w:rFonts w:hint="eastAsia"/>
              </w:rPr>
              <w:t>生物多样性保护：</w:t>
            </w:r>
          </w:p>
          <w:p>
            <w:pPr>
              <w:pStyle w:val="54"/>
              <w:jc w:val="center"/>
            </w:pPr>
            <w:r>
              <w:rPr>
                <w:rFonts w:hint="eastAsia" w:cs="宋体"/>
              </w:rPr>
              <w:t>①</w:t>
            </w:r>
            <w:r>
              <w:rPr>
                <w:rFonts w:hint="eastAsia"/>
              </w:rPr>
              <w:t>国家重点保护野生动植物种类保护率</w:t>
            </w:r>
          </w:p>
          <w:p>
            <w:pPr>
              <w:pStyle w:val="54"/>
              <w:jc w:val="center"/>
            </w:pPr>
            <w:r>
              <w:rPr>
                <w:rFonts w:hint="eastAsia" w:cs="宋体"/>
              </w:rPr>
              <w:t>②</w:t>
            </w:r>
            <w:r>
              <w:rPr>
                <w:rFonts w:hint="eastAsia"/>
              </w:rPr>
              <w:t>外来物种入侵</w:t>
            </w:r>
          </w:p>
          <w:p>
            <w:pPr>
              <w:pStyle w:val="54"/>
              <w:jc w:val="center"/>
            </w:pPr>
            <w:r>
              <w:rPr>
                <w:rFonts w:hint="eastAsia" w:cs="宋体"/>
              </w:rPr>
              <w:t>③</w:t>
            </w:r>
            <w:r>
              <w:rPr>
                <w:rFonts w:hint="eastAsia"/>
              </w:rPr>
              <w:t>特有性或指示性水生物种保护率</w:t>
            </w:r>
          </w:p>
        </w:tc>
        <w:tc>
          <w:tcPr>
            <w:tcW w:w="567" w:type="dxa"/>
            <w:vAlign w:val="center"/>
          </w:tcPr>
          <w:p>
            <w:pPr>
              <w:pStyle w:val="54"/>
              <w:jc w:val="center"/>
            </w:pPr>
          </w:p>
          <w:p>
            <w:pPr>
              <w:pStyle w:val="54"/>
              <w:jc w:val="center"/>
            </w:pPr>
            <w:r>
              <w:rPr>
                <w:rFonts w:hint="eastAsia"/>
              </w:rPr>
              <w:t>%</w:t>
            </w:r>
          </w:p>
          <w:p>
            <w:pPr>
              <w:pStyle w:val="54"/>
              <w:jc w:val="center"/>
            </w:pPr>
          </w:p>
          <w:p>
            <w:pPr>
              <w:pStyle w:val="54"/>
              <w:jc w:val="center"/>
            </w:pPr>
            <w:r>
              <w:rPr>
                <w:rFonts w:hint="eastAsia"/>
              </w:rPr>
              <w:t>-</w:t>
            </w:r>
          </w:p>
          <w:p>
            <w:pPr>
              <w:pStyle w:val="54"/>
              <w:jc w:val="center"/>
            </w:pPr>
            <w:r>
              <w:rPr>
                <w:rFonts w:hint="eastAsia"/>
              </w:rPr>
              <w:t>%</w:t>
            </w:r>
          </w:p>
          <w:p>
            <w:pPr>
              <w:pStyle w:val="54"/>
              <w:jc w:val="center"/>
            </w:pPr>
          </w:p>
        </w:tc>
        <w:tc>
          <w:tcPr>
            <w:tcW w:w="1701" w:type="dxa"/>
            <w:vAlign w:val="center"/>
          </w:tcPr>
          <w:p>
            <w:pPr>
              <w:pStyle w:val="54"/>
              <w:jc w:val="center"/>
            </w:pPr>
          </w:p>
          <w:p>
            <w:pPr>
              <w:pStyle w:val="54"/>
              <w:jc w:val="center"/>
            </w:pPr>
            <w:r>
              <w:rPr>
                <w:rFonts w:hint="eastAsia"/>
              </w:rPr>
              <w:t>≥95</w:t>
            </w:r>
          </w:p>
          <w:p>
            <w:pPr>
              <w:pStyle w:val="54"/>
              <w:jc w:val="center"/>
            </w:pPr>
            <w:r>
              <w:rPr>
                <w:rFonts w:hint="eastAsia"/>
              </w:rPr>
              <w:t>不明显</w:t>
            </w:r>
          </w:p>
          <w:p>
            <w:pPr>
              <w:pStyle w:val="54"/>
              <w:jc w:val="center"/>
            </w:pPr>
            <w:r>
              <w:rPr>
                <w:rFonts w:hint="eastAsia"/>
              </w:rPr>
              <w:t>不降低</w:t>
            </w:r>
          </w:p>
          <w:p>
            <w:pPr>
              <w:pStyle w:val="54"/>
              <w:jc w:val="center"/>
            </w:pPr>
          </w:p>
        </w:tc>
        <w:tc>
          <w:tcPr>
            <w:tcW w:w="851" w:type="dxa"/>
            <w:vAlign w:val="center"/>
          </w:tcPr>
          <w:p>
            <w:pPr>
              <w:pStyle w:val="54"/>
              <w:jc w:val="center"/>
            </w:pPr>
            <w:r>
              <w:rPr>
                <w:rFonts w:hint="eastAsia"/>
              </w:rPr>
              <w:t>参考性</w:t>
            </w:r>
          </w:p>
        </w:tc>
        <w:tc>
          <w:tcPr>
            <w:tcW w:w="2707" w:type="dxa"/>
            <w:vAlign w:val="center"/>
          </w:tcPr>
          <w:p>
            <w:pPr>
              <w:pStyle w:val="54"/>
              <w:jc w:val="center"/>
            </w:pPr>
            <w:r>
              <w:rPr>
                <w:rFonts w:hint="eastAsia"/>
              </w:rPr>
              <w:t>①100</w:t>
            </w:r>
          </w:p>
          <w:p>
            <w:pPr>
              <w:pStyle w:val="54"/>
              <w:jc w:val="center"/>
            </w:pPr>
            <w:r>
              <w:rPr>
                <w:rFonts w:hint="eastAsia"/>
              </w:rPr>
              <w:t>②不明显</w:t>
            </w:r>
          </w:p>
          <w:p>
            <w:pPr>
              <w:pStyle w:val="54"/>
              <w:jc w:val="center"/>
            </w:pPr>
            <w:r>
              <w:rPr>
                <w:rFonts w:hint="eastAsia"/>
              </w:rPr>
              <w:t>③无特有性或指示性水生物种</w:t>
            </w:r>
          </w:p>
        </w:tc>
        <w:tc>
          <w:tcPr>
            <w:tcW w:w="0" w:type="auto"/>
            <w:vAlign w:val="center"/>
          </w:tcPr>
          <w:p>
            <w:pPr>
              <w:pStyle w:val="54"/>
              <w:jc w:val="center"/>
            </w:pPr>
            <w:r>
              <w:rPr>
                <w:rFonts w:hint="eastAsia"/>
              </w:rPr>
              <w:t>①100</w:t>
            </w:r>
          </w:p>
          <w:p>
            <w:pPr>
              <w:pStyle w:val="54"/>
              <w:jc w:val="center"/>
            </w:pPr>
            <w:r>
              <w:rPr>
                <w:rFonts w:hint="eastAsia"/>
              </w:rPr>
              <w:t>②不明显</w:t>
            </w:r>
          </w:p>
          <w:p>
            <w:pPr>
              <w:pStyle w:val="54"/>
              <w:jc w:val="center"/>
              <w:rPr>
                <w:color w:val="000000"/>
                <w:spacing w:val="-12"/>
              </w:rPr>
            </w:pPr>
            <w:r>
              <w:rPr>
                <w:rFonts w:hint="eastAsia"/>
              </w:rPr>
              <w:t>③无特有性或指示性水生物种</w:t>
            </w:r>
          </w:p>
        </w:tc>
        <w:tc>
          <w:tcPr>
            <w:tcW w:w="0" w:type="auto"/>
            <w:vAlign w:val="center"/>
          </w:tcPr>
          <w:p>
            <w:pPr>
              <w:pStyle w:val="54"/>
              <w:jc w:val="center"/>
            </w:pPr>
            <w:r>
              <w:rPr>
                <w:rFonts w:hint="eastAsia"/>
              </w:rPr>
              <w:t>①100</w:t>
            </w:r>
          </w:p>
          <w:p>
            <w:pPr>
              <w:pStyle w:val="54"/>
              <w:jc w:val="center"/>
            </w:pPr>
            <w:r>
              <w:rPr>
                <w:rFonts w:hint="eastAsia"/>
              </w:rPr>
              <w:t>②不明显</w:t>
            </w:r>
          </w:p>
          <w:p>
            <w:pPr>
              <w:pStyle w:val="54"/>
              <w:jc w:val="center"/>
              <w:rPr>
                <w:color w:val="000000"/>
                <w:spacing w:val="-12"/>
              </w:rPr>
            </w:pPr>
            <w:r>
              <w:rPr>
                <w:rFonts w:hint="eastAsia"/>
              </w:rPr>
              <w:t>③无特有性或指示性水生物种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9" w:type="dxa"/>
            <w:vMerge w:val="continue"/>
            <w:vAlign w:val="center"/>
          </w:tcPr>
          <w:p>
            <w:pPr>
              <w:pStyle w:val="54"/>
              <w:jc w:val="center"/>
            </w:pPr>
          </w:p>
        </w:tc>
        <w:tc>
          <w:tcPr>
            <w:tcW w:w="709" w:type="dxa"/>
            <w:vMerge w:val="continue"/>
            <w:vAlign w:val="center"/>
          </w:tcPr>
          <w:p>
            <w:pPr>
              <w:pStyle w:val="54"/>
              <w:jc w:val="center"/>
            </w:pPr>
          </w:p>
        </w:tc>
        <w:tc>
          <w:tcPr>
            <w:tcW w:w="425" w:type="dxa"/>
            <w:vAlign w:val="center"/>
          </w:tcPr>
          <w:p>
            <w:pPr>
              <w:pStyle w:val="54"/>
              <w:jc w:val="center"/>
            </w:pPr>
            <w:r>
              <w:rPr>
                <w:rFonts w:hint="eastAsia"/>
              </w:rPr>
              <w:t>1</w:t>
            </w:r>
            <w:r>
              <w:t>5</w:t>
            </w:r>
          </w:p>
        </w:tc>
        <w:tc>
          <w:tcPr>
            <w:tcW w:w="2693" w:type="dxa"/>
            <w:vAlign w:val="center"/>
          </w:tcPr>
          <w:p>
            <w:pPr>
              <w:pStyle w:val="54"/>
              <w:jc w:val="center"/>
            </w:pPr>
            <w:r>
              <w:rPr>
                <w:rFonts w:hint="eastAsia"/>
              </w:rPr>
              <w:t>海岸生态修复：</w:t>
            </w:r>
          </w:p>
          <w:p>
            <w:pPr>
              <w:pStyle w:val="54"/>
              <w:jc w:val="center"/>
            </w:pPr>
            <w:r>
              <w:rPr>
                <w:rFonts w:hint="eastAsia"/>
              </w:rPr>
              <w:t>①自然岸线修复长度</w:t>
            </w:r>
          </w:p>
          <w:p>
            <w:pPr>
              <w:pStyle w:val="54"/>
              <w:jc w:val="center"/>
            </w:pPr>
            <w:r>
              <w:rPr>
                <w:rFonts w:hint="eastAsia"/>
              </w:rPr>
              <w:t>②滨海湿地修复面积</w:t>
            </w:r>
          </w:p>
        </w:tc>
        <w:tc>
          <w:tcPr>
            <w:tcW w:w="567" w:type="dxa"/>
            <w:vAlign w:val="center"/>
          </w:tcPr>
          <w:p>
            <w:pPr>
              <w:pStyle w:val="54"/>
              <w:jc w:val="center"/>
            </w:pPr>
            <w:r>
              <w:rPr>
                <w:rFonts w:hint="eastAsia"/>
              </w:rPr>
              <w:t>公里</w:t>
            </w:r>
          </w:p>
          <w:p>
            <w:pPr>
              <w:pStyle w:val="54"/>
              <w:jc w:val="center"/>
            </w:pPr>
            <w:r>
              <w:rPr>
                <w:rFonts w:hint="eastAsia"/>
              </w:rPr>
              <w:t>公顷</w:t>
            </w:r>
          </w:p>
        </w:tc>
        <w:tc>
          <w:tcPr>
            <w:tcW w:w="1701" w:type="dxa"/>
            <w:vAlign w:val="center"/>
          </w:tcPr>
          <w:p>
            <w:pPr>
              <w:pStyle w:val="54"/>
              <w:jc w:val="center"/>
            </w:pPr>
            <w:r>
              <w:rPr>
                <w:rFonts w:hint="eastAsia"/>
              </w:rPr>
              <w:t>完成上级管控目标</w:t>
            </w:r>
          </w:p>
        </w:tc>
        <w:tc>
          <w:tcPr>
            <w:tcW w:w="851" w:type="dxa"/>
            <w:vAlign w:val="center"/>
          </w:tcPr>
          <w:p>
            <w:pPr>
              <w:pStyle w:val="54"/>
              <w:jc w:val="center"/>
            </w:pPr>
            <w:r>
              <w:rPr>
                <w:rFonts w:hint="eastAsia"/>
              </w:rPr>
              <w:t>参考性</w:t>
            </w:r>
          </w:p>
        </w:tc>
        <w:tc>
          <w:tcPr>
            <w:tcW w:w="2707" w:type="dxa"/>
            <w:vAlign w:val="center"/>
          </w:tcPr>
          <w:p>
            <w:pPr>
              <w:pStyle w:val="54"/>
              <w:jc w:val="center"/>
            </w:pPr>
            <w:r>
              <w:rPr>
                <w:rFonts w:hint="eastAsia"/>
              </w:rPr>
              <w:t>-</w:t>
            </w:r>
          </w:p>
        </w:tc>
        <w:tc>
          <w:tcPr>
            <w:tcW w:w="0" w:type="auto"/>
            <w:vAlign w:val="center"/>
          </w:tcPr>
          <w:p>
            <w:pPr>
              <w:pStyle w:val="54"/>
              <w:jc w:val="center"/>
            </w:pPr>
            <w:r>
              <w:rPr>
                <w:rFonts w:hint="eastAsia"/>
              </w:rPr>
              <w:t>-</w:t>
            </w:r>
          </w:p>
        </w:tc>
        <w:tc>
          <w:tcPr>
            <w:tcW w:w="0" w:type="auto"/>
            <w:vAlign w:val="center"/>
          </w:tcPr>
          <w:p>
            <w:pPr>
              <w:pStyle w:val="54"/>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9" w:type="dxa"/>
            <w:vMerge w:val="continue"/>
            <w:vAlign w:val="center"/>
          </w:tcPr>
          <w:p>
            <w:pPr>
              <w:pStyle w:val="54"/>
              <w:jc w:val="center"/>
            </w:pPr>
          </w:p>
        </w:tc>
        <w:tc>
          <w:tcPr>
            <w:tcW w:w="709" w:type="dxa"/>
            <w:vMerge w:val="restart"/>
            <w:vAlign w:val="center"/>
          </w:tcPr>
          <w:p>
            <w:pPr>
              <w:pStyle w:val="54"/>
              <w:jc w:val="center"/>
            </w:pPr>
            <w:r>
              <w:t>(四)生态环境风险防范</w:t>
            </w:r>
          </w:p>
        </w:tc>
        <w:tc>
          <w:tcPr>
            <w:tcW w:w="425" w:type="dxa"/>
            <w:vAlign w:val="center"/>
          </w:tcPr>
          <w:p>
            <w:pPr>
              <w:pStyle w:val="54"/>
              <w:jc w:val="center"/>
            </w:pPr>
            <w:r>
              <w:rPr>
                <w:rFonts w:hint="eastAsia"/>
              </w:rPr>
              <w:t>16</w:t>
            </w:r>
          </w:p>
        </w:tc>
        <w:tc>
          <w:tcPr>
            <w:tcW w:w="2693" w:type="dxa"/>
            <w:vAlign w:val="center"/>
          </w:tcPr>
          <w:p>
            <w:pPr>
              <w:pStyle w:val="54"/>
              <w:jc w:val="center"/>
            </w:pPr>
            <w:r>
              <w:rPr>
                <w:rFonts w:hint="eastAsia"/>
              </w:rPr>
              <w:t>危险废物利用处置率</w:t>
            </w:r>
          </w:p>
        </w:tc>
        <w:tc>
          <w:tcPr>
            <w:tcW w:w="567" w:type="dxa"/>
            <w:vAlign w:val="center"/>
          </w:tcPr>
          <w:p>
            <w:pPr>
              <w:pStyle w:val="54"/>
              <w:jc w:val="center"/>
            </w:pPr>
            <w:r>
              <w:rPr>
                <w:rFonts w:hint="eastAsia"/>
              </w:rPr>
              <w:t>%</w:t>
            </w:r>
          </w:p>
        </w:tc>
        <w:tc>
          <w:tcPr>
            <w:tcW w:w="1701" w:type="dxa"/>
            <w:vAlign w:val="center"/>
          </w:tcPr>
          <w:p>
            <w:pPr>
              <w:pStyle w:val="54"/>
              <w:jc w:val="center"/>
            </w:pPr>
            <w:r>
              <w:rPr>
                <w:rFonts w:hint="eastAsia"/>
              </w:rPr>
              <w:t>100</w:t>
            </w:r>
          </w:p>
        </w:tc>
        <w:tc>
          <w:tcPr>
            <w:tcW w:w="851" w:type="dxa"/>
            <w:vAlign w:val="center"/>
          </w:tcPr>
          <w:p>
            <w:pPr>
              <w:pStyle w:val="54"/>
              <w:jc w:val="center"/>
            </w:pPr>
            <w:r>
              <w:rPr>
                <w:rFonts w:hint="eastAsia"/>
              </w:rPr>
              <w:t>约束性</w:t>
            </w:r>
          </w:p>
        </w:tc>
        <w:tc>
          <w:tcPr>
            <w:tcW w:w="2707" w:type="dxa"/>
            <w:vAlign w:val="center"/>
          </w:tcPr>
          <w:p>
            <w:pPr>
              <w:pStyle w:val="54"/>
              <w:jc w:val="center"/>
            </w:pPr>
            <w:r>
              <w:rPr>
                <w:rFonts w:hint="eastAsia"/>
              </w:rPr>
              <w:t>100</w:t>
            </w:r>
          </w:p>
        </w:tc>
        <w:tc>
          <w:tcPr>
            <w:tcW w:w="0" w:type="auto"/>
            <w:vAlign w:val="center"/>
          </w:tcPr>
          <w:p>
            <w:pPr>
              <w:pStyle w:val="54"/>
              <w:jc w:val="center"/>
              <w:rPr>
                <w:bCs/>
                <w:iCs/>
                <w:color w:val="000000"/>
                <w:spacing w:val="-12"/>
              </w:rPr>
            </w:pPr>
            <w:r>
              <w:rPr>
                <w:rFonts w:hint="eastAsia"/>
              </w:rPr>
              <w:t>100</w:t>
            </w:r>
          </w:p>
        </w:tc>
        <w:tc>
          <w:tcPr>
            <w:tcW w:w="0" w:type="auto"/>
            <w:vAlign w:val="center"/>
          </w:tcPr>
          <w:p>
            <w:pPr>
              <w:pStyle w:val="54"/>
              <w:jc w:val="center"/>
              <w:rPr>
                <w:bCs/>
                <w:iCs/>
                <w:color w:val="000000"/>
                <w:spacing w:val="-12"/>
              </w:rPr>
            </w:pPr>
            <w:r>
              <w:rPr>
                <w:rFonts w:hint="eastAsi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9" w:type="dxa"/>
            <w:vMerge w:val="continue"/>
            <w:vAlign w:val="center"/>
          </w:tcPr>
          <w:p>
            <w:pPr>
              <w:pStyle w:val="54"/>
              <w:jc w:val="center"/>
            </w:pPr>
          </w:p>
        </w:tc>
        <w:tc>
          <w:tcPr>
            <w:tcW w:w="709" w:type="dxa"/>
            <w:vMerge w:val="continue"/>
            <w:vAlign w:val="center"/>
          </w:tcPr>
          <w:p>
            <w:pPr>
              <w:pStyle w:val="54"/>
              <w:jc w:val="center"/>
            </w:pPr>
          </w:p>
        </w:tc>
        <w:tc>
          <w:tcPr>
            <w:tcW w:w="425" w:type="dxa"/>
            <w:vAlign w:val="center"/>
          </w:tcPr>
          <w:p>
            <w:pPr>
              <w:pStyle w:val="54"/>
              <w:jc w:val="center"/>
            </w:pPr>
            <w:r>
              <w:rPr>
                <w:rFonts w:hint="eastAsia"/>
              </w:rPr>
              <w:t>17</w:t>
            </w:r>
          </w:p>
        </w:tc>
        <w:tc>
          <w:tcPr>
            <w:tcW w:w="2693" w:type="dxa"/>
            <w:vAlign w:val="center"/>
          </w:tcPr>
          <w:p>
            <w:pPr>
              <w:pStyle w:val="54"/>
              <w:jc w:val="center"/>
            </w:pPr>
            <w:r>
              <w:rPr>
                <w:rFonts w:hint="eastAsia"/>
              </w:rPr>
              <w:t>放射性废物以及废旧放射源安全处置率</w:t>
            </w:r>
          </w:p>
        </w:tc>
        <w:tc>
          <w:tcPr>
            <w:tcW w:w="567" w:type="dxa"/>
            <w:vAlign w:val="center"/>
          </w:tcPr>
          <w:p>
            <w:pPr>
              <w:pStyle w:val="54"/>
              <w:jc w:val="center"/>
            </w:pPr>
            <w:r>
              <w:rPr>
                <w:rFonts w:hint="eastAsia"/>
              </w:rPr>
              <w:t>%</w:t>
            </w:r>
          </w:p>
        </w:tc>
        <w:tc>
          <w:tcPr>
            <w:tcW w:w="1701" w:type="dxa"/>
            <w:vAlign w:val="center"/>
          </w:tcPr>
          <w:p>
            <w:pPr>
              <w:pStyle w:val="54"/>
              <w:jc w:val="center"/>
            </w:pPr>
            <w:r>
              <w:rPr>
                <w:rFonts w:hint="eastAsia"/>
              </w:rPr>
              <w:t>100</w:t>
            </w:r>
          </w:p>
        </w:tc>
        <w:tc>
          <w:tcPr>
            <w:tcW w:w="851" w:type="dxa"/>
            <w:vAlign w:val="center"/>
          </w:tcPr>
          <w:p>
            <w:pPr>
              <w:pStyle w:val="54"/>
              <w:jc w:val="center"/>
            </w:pPr>
            <w:r>
              <w:rPr>
                <w:rFonts w:hint="eastAsia"/>
              </w:rPr>
              <w:t>约束性</w:t>
            </w:r>
          </w:p>
        </w:tc>
        <w:tc>
          <w:tcPr>
            <w:tcW w:w="2707" w:type="dxa"/>
            <w:vAlign w:val="center"/>
          </w:tcPr>
          <w:p>
            <w:pPr>
              <w:pStyle w:val="54"/>
              <w:jc w:val="center"/>
            </w:pPr>
            <w:r>
              <w:rPr>
                <w:rFonts w:hint="eastAsia"/>
              </w:rPr>
              <w:t>100</w:t>
            </w:r>
          </w:p>
        </w:tc>
        <w:tc>
          <w:tcPr>
            <w:tcW w:w="0" w:type="auto"/>
            <w:vAlign w:val="center"/>
          </w:tcPr>
          <w:p>
            <w:pPr>
              <w:pStyle w:val="54"/>
              <w:jc w:val="center"/>
              <w:rPr>
                <w:bCs/>
                <w:iCs/>
                <w:color w:val="000000"/>
                <w:spacing w:val="-12"/>
              </w:rPr>
            </w:pPr>
            <w:r>
              <w:rPr>
                <w:rFonts w:hint="eastAsia"/>
              </w:rPr>
              <w:t>100</w:t>
            </w:r>
          </w:p>
        </w:tc>
        <w:tc>
          <w:tcPr>
            <w:tcW w:w="0" w:type="auto"/>
            <w:vAlign w:val="center"/>
          </w:tcPr>
          <w:p>
            <w:pPr>
              <w:pStyle w:val="54"/>
              <w:jc w:val="center"/>
              <w:rPr>
                <w:bCs/>
                <w:iCs/>
                <w:color w:val="000000"/>
                <w:spacing w:val="-12"/>
              </w:rPr>
            </w:pPr>
            <w:r>
              <w:rPr>
                <w:rFonts w:hint="eastAsi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9" w:type="dxa"/>
            <w:vMerge w:val="continue"/>
            <w:vAlign w:val="center"/>
          </w:tcPr>
          <w:p>
            <w:pPr>
              <w:pStyle w:val="54"/>
              <w:jc w:val="center"/>
            </w:pPr>
          </w:p>
        </w:tc>
        <w:tc>
          <w:tcPr>
            <w:tcW w:w="709" w:type="dxa"/>
            <w:vMerge w:val="continue"/>
            <w:vAlign w:val="center"/>
          </w:tcPr>
          <w:p>
            <w:pPr>
              <w:pStyle w:val="54"/>
              <w:jc w:val="center"/>
            </w:pPr>
          </w:p>
        </w:tc>
        <w:tc>
          <w:tcPr>
            <w:tcW w:w="425" w:type="dxa"/>
            <w:vAlign w:val="center"/>
          </w:tcPr>
          <w:p>
            <w:pPr>
              <w:pStyle w:val="54"/>
              <w:jc w:val="center"/>
            </w:pPr>
            <w:r>
              <w:rPr>
                <w:rFonts w:hint="eastAsia"/>
              </w:rPr>
              <w:t>18</w:t>
            </w:r>
          </w:p>
        </w:tc>
        <w:tc>
          <w:tcPr>
            <w:tcW w:w="2693" w:type="dxa"/>
            <w:vAlign w:val="center"/>
          </w:tcPr>
          <w:p>
            <w:pPr>
              <w:pStyle w:val="54"/>
              <w:jc w:val="center"/>
            </w:pPr>
            <w:r>
              <w:rPr>
                <w:rFonts w:hint="eastAsia"/>
              </w:rPr>
              <w:t>建设用地土壤污染风险管控和修复名录制度</w:t>
            </w:r>
          </w:p>
        </w:tc>
        <w:tc>
          <w:tcPr>
            <w:tcW w:w="567" w:type="dxa"/>
            <w:vAlign w:val="center"/>
          </w:tcPr>
          <w:p>
            <w:pPr>
              <w:pStyle w:val="54"/>
              <w:jc w:val="center"/>
            </w:pPr>
            <w:r>
              <w:rPr>
                <w:rFonts w:hint="eastAsia"/>
              </w:rPr>
              <w:t>-</w:t>
            </w:r>
          </w:p>
        </w:tc>
        <w:tc>
          <w:tcPr>
            <w:tcW w:w="1701" w:type="dxa"/>
            <w:vAlign w:val="center"/>
          </w:tcPr>
          <w:p>
            <w:pPr>
              <w:pStyle w:val="54"/>
              <w:jc w:val="center"/>
            </w:pPr>
            <w:r>
              <w:rPr>
                <w:rFonts w:hint="eastAsia"/>
              </w:rPr>
              <w:t>建立</w:t>
            </w:r>
          </w:p>
        </w:tc>
        <w:tc>
          <w:tcPr>
            <w:tcW w:w="851" w:type="dxa"/>
            <w:vAlign w:val="center"/>
          </w:tcPr>
          <w:p>
            <w:pPr>
              <w:pStyle w:val="54"/>
              <w:jc w:val="center"/>
            </w:pPr>
            <w:r>
              <w:rPr>
                <w:rFonts w:hint="eastAsia"/>
              </w:rPr>
              <w:t>参考性</w:t>
            </w:r>
          </w:p>
        </w:tc>
        <w:tc>
          <w:tcPr>
            <w:tcW w:w="2707" w:type="dxa"/>
            <w:vAlign w:val="center"/>
          </w:tcPr>
          <w:p>
            <w:pPr>
              <w:pStyle w:val="54"/>
              <w:jc w:val="center"/>
            </w:pPr>
            <w:r>
              <w:rPr>
                <w:rFonts w:hint="eastAsia"/>
              </w:rPr>
              <w:t>建立</w:t>
            </w:r>
          </w:p>
        </w:tc>
        <w:tc>
          <w:tcPr>
            <w:tcW w:w="0" w:type="auto"/>
            <w:vAlign w:val="center"/>
          </w:tcPr>
          <w:p>
            <w:pPr>
              <w:pStyle w:val="54"/>
              <w:jc w:val="center"/>
              <w:rPr>
                <w:color w:val="000000"/>
                <w:spacing w:val="-12"/>
              </w:rPr>
            </w:pPr>
            <w:r>
              <w:rPr>
                <w:rFonts w:hint="eastAsia"/>
              </w:rPr>
              <w:t>建立</w:t>
            </w:r>
          </w:p>
        </w:tc>
        <w:tc>
          <w:tcPr>
            <w:tcW w:w="0" w:type="auto"/>
            <w:vAlign w:val="center"/>
          </w:tcPr>
          <w:p>
            <w:pPr>
              <w:pStyle w:val="54"/>
              <w:jc w:val="center"/>
              <w:rPr>
                <w:bCs/>
                <w:iCs/>
                <w:color w:val="000000"/>
                <w:spacing w:val="-12"/>
              </w:rPr>
            </w:pPr>
            <w:r>
              <w:rPr>
                <w:rFonts w:hint="eastAsia"/>
              </w:rPr>
              <w:t>建立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9" w:type="dxa"/>
            <w:vMerge w:val="continue"/>
            <w:vAlign w:val="center"/>
          </w:tcPr>
          <w:p>
            <w:pPr>
              <w:pStyle w:val="54"/>
              <w:jc w:val="center"/>
            </w:pPr>
          </w:p>
        </w:tc>
        <w:tc>
          <w:tcPr>
            <w:tcW w:w="709" w:type="dxa"/>
            <w:vMerge w:val="continue"/>
            <w:vAlign w:val="center"/>
          </w:tcPr>
          <w:p>
            <w:pPr>
              <w:pStyle w:val="54"/>
              <w:jc w:val="center"/>
            </w:pPr>
          </w:p>
        </w:tc>
        <w:tc>
          <w:tcPr>
            <w:tcW w:w="425" w:type="dxa"/>
            <w:vAlign w:val="center"/>
          </w:tcPr>
          <w:p>
            <w:pPr>
              <w:pStyle w:val="54"/>
              <w:jc w:val="center"/>
            </w:pPr>
            <w:r>
              <w:rPr>
                <w:rFonts w:hint="eastAsia"/>
              </w:rPr>
              <w:t>19</w:t>
            </w:r>
          </w:p>
        </w:tc>
        <w:tc>
          <w:tcPr>
            <w:tcW w:w="2693" w:type="dxa"/>
            <w:vAlign w:val="center"/>
          </w:tcPr>
          <w:p>
            <w:pPr>
              <w:pStyle w:val="54"/>
              <w:jc w:val="center"/>
            </w:pPr>
            <w:r>
              <w:rPr>
                <w:rFonts w:hint="eastAsia"/>
              </w:rPr>
              <w:t>受污染耕地安全利用率</w:t>
            </w:r>
          </w:p>
        </w:tc>
        <w:tc>
          <w:tcPr>
            <w:tcW w:w="567" w:type="dxa"/>
            <w:vAlign w:val="center"/>
          </w:tcPr>
          <w:p>
            <w:pPr>
              <w:pStyle w:val="54"/>
              <w:jc w:val="center"/>
            </w:pPr>
            <w:r>
              <w:rPr>
                <w:rFonts w:hint="eastAsia"/>
              </w:rPr>
              <w:t>%</w:t>
            </w:r>
          </w:p>
        </w:tc>
        <w:tc>
          <w:tcPr>
            <w:tcW w:w="1701" w:type="dxa"/>
            <w:vAlign w:val="center"/>
          </w:tcPr>
          <w:p>
            <w:pPr>
              <w:pStyle w:val="54"/>
              <w:jc w:val="center"/>
            </w:pPr>
            <w:r>
              <w:rPr>
                <w:rFonts w:hint="eastAsia"/>
              </w:rPr>
              <w:t>≥</w:t>
            </w:r>
            <w:r>
              <w:rPr>
                <w:rFonts w:hint="eastAsia"/>
                <w:spacing w:val="-10"/>
              </w:rPr>
              <w:t>92</w:t>
            </w:r>
          </w:p>
        </w:tc>
        <w:tc>
          <w:tcPr>
            <w:tcW w:w="851" w:type="dxa"/>
            <w:vAlign w:val="center"/>
          </w:tcPr>
          <w:p>
            <w:pPr>
              <w:pStyle w:val="54"/>
              <w:jc w:val="center"/>
            </w:pPr>
            <w:r>
              <w:rPr>
                <w:rFonts w:hint="eastAsia"/>
              </w:rPr>
              <w:t>约束性</w:t>
            </w:r>
          </w:p>
        </w:tc>
        <w:tc>
          <w:tcPr>
            <w:tcW w:w="2707" w:type="dxa"/>
            <w:vAlign w:val="center"/>
          </w:tcPr>
          <w:p>
            <w:pPr>
              <w:pStyle w:val="54"/>
              <w:jc w:val="center"/>
            </w:pPr>
            <w:r>
              <w:rPr>
                <w:rFonts w:hint="eastAsia"/>
              </w:rPr>
              <w:t>该项工作正在开展中，目前还无相关数据。</w:t>
            </w:r>
          </w:p>
        </w:tc>
        <w:tc>
          <w:tcPr>
            <w:tcW w:w="0" w:type="auto"/>
            <w:vAlign w:val="center"/>
          </w:tcPr>
          <w:p>
            <w:pPr>
              <w:pStyle w:val="54"/>
              <w:jc w:val="center"/>
            </w:pPr>
            <w:r>
              <w:rPr>
                <w:rFonts w:hint="eastAsia"/>
              </w:rPr>
              <w:t>9</w:t>
            </w:r>
            <w:r>
              <w:t>3</w:t>
            </w:r>
          </w:p>
        </w:tc>
        <w:tc>
          <w:tcPr>
            <w:tcW w:w="0" w:type="auto"/>
            <w:vAlign w:val="center"/>
          </w:tcPr>
          <w:p>
            <w:pPr>
              <w:pStyle w:val="54"/>
              <w:jc w:val="center"/>
            </w:pPr>
            <w:r>
              <w:rPr>
                <w:rFonts w:hint="eastAsia"/>
              </w:rPr>
              <w:t>9</w:t>
            </w:r>
            <w: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9" w:type="dxa"/>
            <w:vMerge w:val="continue"/>
            <w:vAlign w:val="center"/>
          </w:tcPr>
          <w:p>
            <w:pPr>
              <w:pStyle w:val="54"/>
              <w:jc w:val="center"/>
            </w:pPr>
          </w:p>
        </w:tc>
        <w:tc>
          <w:tcPr>
            <w:tcW w:w="709" w:type="dxa"/>
            <w:vMerge w:val="continue"/>
            <w:vAlign w:val="center"/>
          </w:tcPr>
          <w:p>
            <w:pPr>
              <w:pStyle w:val="54"/>
              <w:jc w:val="center"/>
            </w:pPr>
          </w:p>
        </w:tc>
        <w:tc>
          <w:tcPr>
            <w:tcW w:w="425" w:type="dxa"/>
            <w:vAlign w:val="center"/>
          </w:tcPr>
          <w:p>
            <w:pPr>
              <w:pStyle w:val="54"/>
              <w:jc w:val="center"/>
            </w:pPr>
            <w:r>
              <w:rPr>
                <w:rFonts w:hint="eastAsia"/>
              </w:rPr>
              <w:t>20</w:t>
            </w:r>
          </w:p>
        </w:tc>
        <w:tc>
          <w:tcPr>
            <w:tcW w:w="2693" w:type="dxa"/>
            <w:vAlign w:val="center"/>
          </w:tcPr>
          <w:p>
            <w:pPr>
              <w:pStyle w:val="54"/>
              <w:jc w:val="center"/>
            </w:pPr>
            <w:r>
              <w:rPr>
                <w:rFonts w:hint="eastAsia"/>
              </w:rPr>
              <w:t>污染地块安全利用率</w:t>
            </w:r>
          </w:p>
        </w:tc>
        <w:tc>
          <w:tcPr>
            <w:tcW w:w="567" w:type="dxa"/>
            <w:vAlign w:val="center"/>
          </w:tcPr>
          <w:p>
            <w:pPr>
              <w:pStyle w:val="54"/>
              <w:jc w:val="center"/>
            </w:pPr>
            <w:r>
              <w:rPr>
                <w:rFonts w:hint="eastAsia"/>
              </w:rPr>
              <w:t>%</w:t>
            </w:r>
          </w:p>
        </w:tc>
        <w:tc>
          <w:tcPr>
            <w:tcW w:w="1701" w:type="dxa"/>
            <w:vAlign w:val="center"/>
          </w:tcPr>
          <w:p>
            <w:pPr>
              <w:pStyle w:val="54"/>
              <w:jc w:val="center"/>
            </w:pPr>
            <w:r>
              <w:rPr>
                <w:rFonts w:hint="eastAsia"/>
              </w:rPr>
              <w:t>≥</w:t>
            </w:r>
            <w:r>
              <w:rPr>
                <w:rFonts w:hint="eastAsia"/>
                <w:spacing w:val="-10"/>
              </w:rPr>
              <w:t>92</w:t>
            </w:r>
          </w:p>
        </w:tc>
        <w:tc>
          <w:tcPr>
            <w:tcW w:w="851" w:type="dxa"/>
            <w:vAlign w:val="center"/>
          </w:tcPr>
          <w:p>
            <w:pPr>
              <w:pStyle w:val="54"/>
              <w:jc w:val="center"/>
            </w:pPr>
            <w:r>
              <w:rPr>
                <w:rFonts w:hint="eastAsia"/>
              </w:rPr>
              <w:t>约束性</w:t>
            </w:r>
          </w:p>
        </w:tc>
        <w:tc>
          <w:tcPr>
            <w:tcW w:w="2707" w:type="dxa"/>
            <w:vAlign w:val="center"/>
          </w:tcPr>
          <w:p>
            <w:pPr>
              <w:pStyle w:val="54"/>
              <w:jc w:val="center"/>
            </w:pPr>
            <w:r>
              <w:rPr>
                <w:rFonts w:hint="eastAsia"/>
              </w:rPr>
              <w:t>100</w:t>
            </w:r>
          </w:p>
        </w:tc>
        <w:tc>
          <w:tcPr>
            <w:tcW w:w="0" w:type="auto"/>
            <w:vAlign w:val="center"/>
          </w:tcPr>
          <w:p>
            <w:pPr>
              <w:pStyle w:val="54"/>
              <w:jc w:val="center"/>
              <w:rPr>
                <w:color w:val="000000"/>
                <w:spacing w:val="-12"/>
              </w:rPr>
            </w:pPr>
            <w:r>
              <w:rPr>
                <w:rFonts w:hint="eastAsia"/>
                <w:spacing w:val="-10"/>
              </w:rPr>
              <w:t>9</w:t>
            </w:r>
            <w:r>
              <w:rPr>
                <w:spacing w:val="-10"/>
              </w:rPr>
              <w:t>5</w:t>
            </w:r>
          </w:p>
        </w:tc>
        <w:tc>
          <w:tcPr>
            <w:tcW w:w="0" w:type="auto"/>
            <w:vAlign w:val="center"/>
          </w:tcPr>
          <w:p>
            <w:pPr>
              <w:pStyle w:val="54"/>
              <w:jc w:val="center"/>
              <w:rPr>
                <w:bCs/>
                <w:iCs/>
                <w:color w:val="000000"/>
                <w:spacing w:val="-12"/>
              </w:rPr>
            </w:pPr>
            <w:r>
              <w:rPr>
                <w:rFonts w:hint="eastAsi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9" w:type="dxa"/>
            <w:vMerge w:val="continue"/>
            <w:vAlign w:val="center"/>
          </w:tcPr>
          <w:p>
            <w:pPr>
              <w:pStyle w:val="54"/>
              <w:jc w:val="center"/>
            </w:pPr>
          </w:p>
        </w:tc>
        <w:tc>
          <w:tcPr>
            <w:tcW w:w="709" w:type="dxa"/>
            <w:vMerge w:val="continue"/>
            <w:vAlign w:val="center"/>
          </w:tcPr>
          <w:p>
            <w:pPr>
              <w:pStyle w:val="54"/>
              <w:jc w:val="center"/>
            </w:pPr>
          </w:p>
        </w:tc>
        <w:tc>
          <w:tcPr>
            <w:tcW w:w="425" w:type="dxa"/>
            <w:vAlign w:val="center"/>
          </w:tcPr>
          <w:p>
            <w:pPr>
              <w:pStyle w:val="54"/>
              <w:jc w:val="center"/>
            </w:pPr>
            <w:r>
              <w:rPr>
                <w:rFonts w:hint="eastAsia"/>
              </w:rPr>
              <w:t>21</w:t>
            </w:r>
          </w:p>
        </w:tc>
        <w:tc>
          <w:tcPr>
            <w:tcW w:w="2693" w:type="dxa"/>
            <w:vAlign w:val="center"/>
          </w:tcPr>
          <w:p>
            <w:pPr>
              <w:pStyle w:val="54"/>
              <w:jc w:val="center"/>
            </w:pPr>
            <w:r>
              <w:rPr>
                <w:rFonts w:hint="eastAsia"/>
              </w:rPr>
              <w:t>突发生态环境事件</w:t>
            </w:r>
          </w:p>
          <w:p>
            <w:pPr>
              <w:pStyle w:val="54"/>
              <w:jc w:val="center"/>
            </w:pPr>
            <w:r>
              <w:rPr>
                <w:rFonts w:hint="eastAsia"/>
              </w:rPr>
              <w:t>应急管理机制</w:t>
            </w:r>
          </w:p>
        </w:tc>
        <w:tc>
          <w:tcPr>
            <w:tcW w:w="567" w:type="dxa"/>
            <w:vAlign w:val="center"/>
          </w:tcPr>
          <w:p>
            <w:pPr>
              <w:pStyle w:val="54"/>
              <w:jc w:val="center"/>
            </w:pPr>
            <w:r>
              <w:rPr>
                <w:rFonts w:hint="eastAsia"/>
              </w:rPr>
              <w:t>-</w:t>
            </w:r>
          </w:p>
        </w:tc>
        <w:tc>
          <w:tcPr>
            <w:tcW w:w="1701" w:type="dxa"/>
            <w:vAlign w:val="center"/>
          </w:tcPr>
          <w:p>
            <w:pPr>
              <w:pStyle w:val="54"/>
              <w:jc w:val="center"/>
            </w:pPr>
            <w:r>
              <w:rPr>
                <w:rFonts w:hint="eastAsia"/>
              </w:rPr>
              <w:t>建立</w:t>
            </w:r>
          </w:p>
        </w:tc>
        <w:tc>
          <w:tcPr>
            <w:tcW w:w="851" w:type="dxa"/>
            <w:vAlign w:val="center"/>
          </w:tcPr>
          <w:p>
            <w:pPr>
              <w:pStyle w:val="54"/>
              <w:jc w:val="center"/>
            </w:pPr>
            <w:r>
              <w:rPr>
                <w:rFonts w:hint="eastAsia"/>
              </w:rPr>
              <w:t>约束性</w:t>
            </w:r>
          </w:p>
        </w:tc>
        <w:tc>
          <w:tcPr>
            <w:tcW w:w="2707" w:type="dxa"/>
            <w:vAlign w:val="center"/>
          </w:tcPr>
          <w:p>
            <w:pPr>
              <w:pStyle w:val="54"/>
              <w:jc w:val="center"/>
            </w:pPr>
            <w:r>
              <w:rPr>
                <w:rFonts w:hint="eastAsia"/>
              </w:rPr>
              <w:t>建立</w:t>
            </w:r>
          </w:p>
        </w:tc>
        <w:tc>
          <w:tcPr>
            <w:tcW w:w="0" w:type="auto"/>
            <w:vAlign w:val="center"/>
          </w:tcPr>
          <w:p>
            <w:pPr>
              <w:pStyle w:val="54"/>
              <w:jc w:val="center"/>
            </w:pPr>
            <w:r>
              <w:t>严格执行</w:t>
            </w:r>
          </w:p>
        </w:tc>
        <w:tc>
          <w:tcPr>
            <w:tcW w:w="0" w:type="auto"/>
            <w:vAlign w:val="center"/>
          </w:tcPr>
          <w:p>
            <w:pPr>
              <w:pStyle w:val="54"/>
              <w:jc w:val="center"/>
            </w:pPr>
            <w:r>
              <w:t>严格执行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9" w:type="dxa"/>
            <w:vMerge w:val="restart"/>
            <w:vAlign w:val="center"/>
          </w:tcPr>
          <w:p>
            <w:pPr>
              <w:pStyle w:val="54"/>
              <w:jc w:val="center"/>
            </w:pPr>
            <w:r>
              <w:rPr>
                <w:rFonts w:hint="eastAsia"/>
              </w:rPr>
              <w:t>生态空间</w:t>
            </w:r>
          </w:p>
        </w:tc>
        <w:tc>
          <w:tcPr>
            <w:tcW w:w="709" w:type="dxa"/>
            <w:vMerge w:val="restart"/>
            <w:vAlign w:val="center"/>
          </w:tcPr>
          <w:p>
            <w:pPr>
              <w:pStyle w:val="54"/>
              <w:jc w:val="center"/>
            </w:pPr>
            <w:r>
              <w:rPr>
                <w:rFonts w:hint="eastAsia"/>
              </w:rPr>
              <w:t>（五）空间格局优化</w:t>
            </w:r>
          </w:p>
        </w:tc>
        <w:tc>
          <w:tcPr>
            <w:tcW w:w="425" w:type="dxa"/>
            <w:vAlign w:val="center"/>
          </w:tcPr>
          <w:p>
            <w:pPr>
              <w:pStyle w:val="54"/>
              <w:jc w:val="center"/>
            </w:pPr>
            <w:r>
              <w:rPr>
                <w:rFonts w:hint="eastAsia"/>
              </w:rPr>
              <w:t>22</w:t>
            </w:r>
          </w:p>
        </w:tc>
        <w:tc>
          <w:tcPr>
            <w:tcW w:w="2693" w:type="dxa"/>
            <w:vAlign w:val="center"/>
          </w:tcPr>
          <w:p>
            <w:pPr>
              <w:pStyle w:val="54"/>
              <w:jc w:val="center"/>
            </w:pPr>
            <w:r>
              <w:rPr>
                <w:rFonts w:hint="eastAsia"/>
              </w:rPr>
              <w:t>国土空间三线：</w:t>
            </w:r>
          </w:p>
          <w:p>
            <w:pPr>
              <w:pStyle w:val="54"/>
              <w:jc w:val="center"/>
            </w:pPr>
            <w:r>
              <w:rPr>
                <w:rFonts w:hint="eastAsia" w:cs="宋体"/>
              </w:rPr>
              <w:t>①</w:t>
            </w:r>
            <w:r>
              <w:rPr>
                <w:rFonts w:hint="eastAsia"/>
              </w:rPr>
              <w:t>生态保护红线</w:t>
            </w:r>
          </w:p>
          <w:p>
            <w:pPr>
              <w:pStyle w:val="54"/>
              <w:jc w:val="center"/>
            </w:pPr>
            <w:r>
              <w:rPr>
                <w:rFonts w:hint="eastAsia" w:cs="宋体"/>
              </w:rPr>
              <w:t>②</w:t>
            </w:r>
            <w:r>
              <w:rPr>
                <w:rFonts w:hint="eastAsia"/>
              </w:rPr>
              <w:t>永久基本农田保护红线</w:t>
            </w:r>
          </w:p>
          <w:p>
            <w:pPr>
              <w:pStyle w:val="54"/>
              <w:jc w:val="center"/>
            </w:pPr>
            <w:r>
              <w:rPr>
                <w:rFonts w:hint="eastAsia" w:cs="宋体"/>
              </w:rPr>
              <w:t>③</w:t>
            </w:r>
            <w:r>
              <w:rPr>
                <w:rFonts w:hint="eastAsia"/>
              </w:rPr>
              <w:t>城镇开发边界</w:t>
            </w:r>
          </w:p>
        </w:tc>
        <w:tc>
          <w:tcPr>
            <w:tcW w:w="567" w:type="dxa"/>
            <w:vAlign w:val="center"/>
          </w:tcPr>
          <w:p>
            <w:pPr>
              <w:pStyle w:val="54"/>
              <w:jc w:val="center"/>
            </w:pPr>
          </w:p>
          <w:p>
            <w:pPr>
              <w:pStyle w:val="54"/>
              <w:jc w:val="center"/>
            </w:pPr>
            <w:r>
              <w:rPr>
                <w:rFonts w:hint="eastAsia"/>
              </w:rPr>
              <w:t>-</w:t>
            </w:r>
          </w:p>
          <w:p>
            <w:pPr>
              <w:pStyle w:val="54"/>
              <w:jc w:val="center"/>
            </w:pPr>
          </w:p>
          <w:p>
            <w:pPr>
              <w:pStyle w:val="54"/>
              <w:jc w:val="center"/>
            </w:pPr>
            <w:r>
              <w:rPr>
                <w:rFonts w:hint="eastAsia"/>
              </w:rPr>
              <w:t>-</w:t>
            </w:r>
          </w:p>
          <w:p>
            <w:pPr>
              <w:pStyle w:val="54"/>
              <w:jc w:val="center"/>
            </w:pPr>
            <w:r>
              <w:rPr>
                <w:rFonts w:hint="eastAsia"/>
              </w:rPr>
              <w:t>-</w:t>
            </w:r>
          </w:p>
        </w:tc>
        <w:tc>
          <w:tcPr>
            <w:tcW w:w="1701" w:type="dxa"/>
            <w:vAlign w:val="center"/>
          </w:tcPr>
          <w:p>
            <w:pPr>
              <w:pStyle w:val="54"/>
              <w:jc w:val="center"/>
            </w:pPr>
          </w:p>
          <w:p>
            <w:pPr>
              <w:pStyle w:val="54"/>
              <w:jc w:val="center"/>
            </w:pPr>
            <w:r>
              <w:rPr>
                <w:rFonts w:hint="eastAsia"/>
              </w:rPr>
              <w:t>面积不减小，性质不改变，功能不降低</w:t>
            </w:r>
          </w:p>
          <w:p>
            <w:pPr>
              <w:pStyle w:val="54"/>
              <w:jc w:val="center"/>
            </w:pPr>
            <w:r>
              <w:rPr>
                <w:rFonts w:hint="eastAsia"/>
              </w:rPr>
              <w:t>严格遵守，面积不缩小</w:t>
            </w:r>
          </w:p>
          <w:p>
            <w:pPr>
              <w:pStyle w:val="54"/>
              <w:jc w:val="center"/>
            </w:pPr>
            <w:r>
              <w:rPr>
                <w:rFonts w:hint="eastAsia"/>
              </w:rPr>
              <w:t>严格遵守，边界不突破</w:t>
            </w:r>
          </w:p>
        </w:tc>
        <w:tc>
          <w:tcPr>
            <w:tcW w:w="851" w:type="dxa"/>
            <w:vAlign w:val="center"/>
          </w:tcPr>
          <w:p>
            <w:pPr>
              <w:pStyle w:val="54"/>
              <w:jc w:val="center"/>
            </w:pPr>
            <w:r>
              <w:rPr>
                <w:rFonts w:hint="eastAsia"/>
              </w:rPr>
              <w:t>约束性</w:t>
            </w:r>
          </w:p>
        </w:tc>
        <w:tc>
          <w:tcPr>
            <w:tcW w:w="2707" w:type="dxa"/>
            <w:vAlign w:val="center"/>
          </w:tcPr>
          <w:p>
            <w:pPr>
              <w:pStyle w:val="54"/>
              <w:jc w:val="center"/>
              <w:rPr>
                <w:rFonts w:cs="宋体"/>
              </w:rPr>
            </w:pPr>
            <w:r>
              <w:rPr>
                <w:rFonts w:hint="eastAsia" w:cs="宋体"/>
              </w:rPr>
              <w:t>①</w:t>
            </w:r>
            <w:r>
              <w:rPr>
                <w:rFonts w:hint="eastAsia"/>
              </w:rPr>
              <w:t>面积不减小，性质不改变，功能不降低</w:t>
            </w:r>
            <w:r>
              <w:rPr>
                <w:rFonts w:hint="eastAsia" w:cs="宋体"/>
              </w:rPr>
              <w:t>。</w:t>
            </w:r>
          </w:p>
          <w:p>
            <w:pPr>
              <w:pStyle w:val="54"/>
              <w:jc w:val="center"/>
            </w:pPr>
            <w:r>
              <w:rPr>
                <w:rFonts w:hint="eastAsia"/>
              </w:rPr>
              <w:t>②按上级要求2019年开始相关工作，规划正在编制中。</w:t>
            </w:r>
          </w:p>
          <w:p>
            <w:pPr>
              <w:pStyle w:val="54"/>
              <w:jc w:val="center"/>
            </w:pPr>
            <w:r>
              <w:rPr>
                <w:rFonts w:hint="eastAsia"/>
              </w:rPr>
              <w:t>③按上级要求2019年开始相关工作，规划正在编制中。</w:t>
            </w:r>
          </w:p>
        </w:tc>
        <w:tc>
          <w:tcPr>
            <w:tcW w:w="0" w:type="auto"/>
            <w:vAlign w:val="center"/>
          </w:tcPr>
          <w:p>
            <w:pPr>
              <w:pStyle w:val="54"/>
              <w:jc w:val="center"/>
            </w:pPr>
            <w:r>
              <w:rPr>
                <w:rFonts w:hint="eastAsia" w:cs="宋体"/>
              </w:rPr>
              <w:t>①</w:t>
            </w:r>
            <w:r>
              <w:rPr>
                <w:rFonts w:hint="eastAsia"/>
              </w:rPr>
              <w:t>面积不减小，性质不改变，功能不降低</w:t>
            </w:r>
          </w:p>
          <w:p>
            <w:pPr>
              <w:pStyle w:val="54"/>
              <w:jc w:val="center"/>
            </w:pPr>
            <w:r>
              <w:rPr>
                <w:rFonts w:hint="eastAsia"/>
              </w:rPr>
              <w:t>②严格遵守，面积不缩小</w:t>
            </w:r>
          </w:p>
          <w:p>
            <w:pPr>
              <w:pStyle w:val="54"/>
              <w:jc w:val="center"/>
              <w:rPr>
                <w:color w:val="000000"/>
                <w:spacing w:val="-12"/>
              </w:rPr>
            </w:pPr>
            <w:r>
              <w:rPr>
                <w:rFonts w:hint="eastAsia"/>
              </w:rPr>
              <w:t>③严格遵守，边界不突破</w:t>
            </w:r>
          </w:p>
        </w:tc>
        <w:tc>
          <w:tcPr>
            <w:tcW w:w="0" w:type="auto"/>
            <w:vAlign w:val="center"/>
          </w:tcPr>
          <w:p>
            <w:pPr>
              <w:pStyle w:val="54"/>
              <w:jc w:val="center"/>
            </w:pPr>
            <w:r>
              <w:rPr>
                <w:rFonts w:hint="eastAsia" w:cs="宋体"/>
              </w:rPr>
              <w:t>①</w:t>
            </w:r>
            <w:r>
              <w:rPr>
                <w:rFonts w:hint="eastAsia"/>
              </w:rPr>
              <w:t>面积不减小，性质不改变，功能不降低</w:t>
            </w:r>
          </w:p>
          <w:p>
            <w:pPr>
              <w:pStyle w:val="54"/>
              <w:jc w:val="center"/>
            </w:pPr>
            <w:r>
              <w:rPr>
                <w:rFonts w:hint="eastAsia"/>
              </w:rPr>
              <w:t>②严格遵守，面积不缩小</w:t>
            </w:r>
          </w:p>
          <w:p>
            <w:pPr>
              <w:pStyle w:val="54"/>
              <w:jc w:val="center"/>
              <w:rPr>
                <w:color w:val="000000"/>
                <w:spacing w:val="-12"/>
              </w:rPr>
            </w:pPr>
            <w:r>
              <w:rPr>
                <w:rFonts w:hint="eastAsia"/>
              </w:rPr>
              <w:t>③严格遵守，边界不突破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9" w:type="dxa"/>
            <w:vMerge w:val="continue"/>
            <w:vAlign w:val="center"/>
          </w:tcPr>
          <w:p>
            <w:pPr>
              <w:pStyle w:val="54"/>
              <w:jc w:val="center"/>
            </w:pPr>
          </w:p>
        </w:tc>
        <w:tc>
          <w:tcPr>
            <w:tcW w:w="709" w:type="dxa"/>
            <w:vMerge w:val="continue"/>
            <w:vAlign w:val="center"/>
          </w:tcPr>
          <w:p>
            <w:pPr>
              <w:pStyle w:val="54"/>
              <w:jc w:val="center"/>
            </w:pPr>
          </w:p>
        </w:tc>
        <w:tc>
          <w:tcPr>
            <w:tcW w:w="425" w:type="dxa"/>
            <w:vAlign w:val="center"/>
          </w:tcPr>
          <w:p>
            <w:pPr>
              <w:pStyle w:val="54"/>
              <w:jc w:val="center"/>
            </w:pPr>
            <w:r>
              <w:rPr>
                <w:rFonts w:hint="eastAsia"/>
              </w:rPr>
              <w:t>23</w:t>
            </w:r>
          </w:p>
        </w:tc>
        <w:tc>
          <w:tcPr>
            <w:tcW w:w="2693" w:type="dxa"/>
            <w:vAlign w:val="center"/>
          </w:tcPr>
          <w:p>
            <w:pPr>
              <w:pStyle w:val="54"/>
              <w:jc w:val="center"/>
            </w:pPr>
            <w:r>
              <w:rPr>
                <w:rFonts w:hint="eastAsia"/>
              </w:rPr>
              <w:t>自然保护地</w:t>
            </w:r>
          </w:p>
        </w:tc>
        <w:tc>
          <w:tcPr>
            <w:tcW w:w="567" w:type="dxa"/>
            <w:vAlign w:val="center"/>
          </w:tcPr>
          <w:p>
            <w:pPr>
              <w:pStyle w:val="54"/>
              <w:jc w:val="center"/>
            </w:pPr>
            <w:r>
              <w:rPr>
                <w:rFonts w:hint="eastAsia"/>
              </w:rPr>
              <w:t>-</w:t>
            </w:r>
          </w:p>
        </w:tc>
        <w:tc>
          <w:tcPr>
            <w:tcW w:w="1701" w:type="dxa"/>
            <w:vAlign w:val="center"/>
          </w:tcPr>
          <w:p>
            <w:pPr>
              <w:pStyle w:val="54"/>
              <w:jc w:val="center"/>
            </w:pPr>
            <w:r>
              <w:rPr>
                <w:rFonts w:hint="eastAsia"/>
              </w:rPr>
              <w:t>功能不降低，环境不破坏、自然资源不侵占</w:t>
            </w:r>
          </w:p>
        </w:tc>
        <w:tc>
          <w:tcPr>
            <w:tcW w:w="851" w:type="dxa"/>
            <w:vAlign w:val="center"/>
          </w:tcPr>
          <w:p>
            <w:pPr>
              <w:pStyle w:val="54"/>
              <w:jc w:val="center"/>
            </w:pPr>
            <w:r>
              <w:rPr>
                <w:rFonts w:hint="eastAsia"/>
              </w:rPr>
              <w:t>约束性</w:t>
            </w:r>
          </w:p>
        </w:tc>
        <w:tc>
          <w:tcPr>
            <w:tcW w:w="2707" w:type="dxa"/>
            <w:vAlign w:val="center"/>
          </w:tcPr>
          <w:p>
            <w:pPr>
              <w:pStyle w:val="54"/>
              <w:jc w:val="center"/>
            </w:pPr>
            <w:r>
              <w:rPr>
                <w:rFonts w:hint="eastAsia"/>
              </w:rPr>
              <w:t>无自然保护地</w:t>
            </w:r>
          </w:p>
        </w:tc>
        <w:tc>
          <w:tcPr>
            <w:tcW w:w="0" w:type="auto"/>
            <w:vAlign w:val="center"/>
          </w:tcPr>
          <w:p>
            <w:pPr>
              <w:pStyle w:val="54"/>
              <w:jc w:val="center"/>
              <w:rPr>
                <w:color w:val="000000"/>
                <w:spacing w:val="-12"/>
              </w:rPr>
            </w:pPr>
            <w:r>
              <w:rPr>
                <w:rFonts w:hint="eastAsia"/>
              </w:rPr>
              <w:t>功能不降低，环境不破坏、自然资源不侵占</w:t>
            </w:r>
          </w:p>
        </w:tc>
        <w:tc>
          <w:tcPr>
            <w:tcW w:w="0" w:type="auto"/>
            <w:vAlign w:val="center"/>
          </w:tcPr>
          <w:p>
            <w:pPr>
              <w:pStyle w:val="54"/>
              <w:jc w:val="center"/>
              <w:rPr>
                <w:color w:val="000000"/>
                <w:spacing w:val="-12"/>
              </w:rPr>
            </w:pPr>
            <w:r>
              <w:rPr>
                <w:rFonts w:hint="eastAsia"/>
              </w:rPr>
              <w:t>功能不降低，环境不破坏、自然资源不侵占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9" w:type="dxa"/>
            <w:vMerge w:val="continue"/>
            <w:vAlign w:val="center"/>
          </w:tcPr>
          <w:p>
            <w:pPr>
              <w:pStyle w:val="54"/>
              <w:jc w:val="center"/>
            </w:pPr>
          </w:p>
        </w:tc>
        <w:tc>
          <w:tcPr>
            <w:tcW w:w="709" w:type="dxa"/>
            <w:vMerge w:val="continue"/>
            <w:vAlign w:val="center"/>
          </w:tcPr>
          <w:p>
            <w:pPr>
              <w:pStyle w:val="54"/>
              <w:jc w:val="center"/>
            </w:pPr>
          </w:p>
        </w:tc>
        <w:tc>
          <w:tcPr>
            <w:tcW w:w="425" w:type="dxa"/>
            <w:vAlign w:val="center"/>
          </w:tcPr>
          <w:p>
            <w:pPr>
              <w:pStyle w:val="54"/>
              <w:jc w:val="center"/>
            </w:pPr>
            <w:r>
              <w:rPr>
                <w:rFonts w:hint="eastAsia"/>
              </w:rPr>
              <w:t>24</w:t>
            </w:r>
          </w:p>
        </w:tc>
        <w:tc>
          <w:tcPr>
            <w:tcW w:w="2693" w:type="dxa"/>
            <w:vAlign w:val="center"/>
          </w:tcPr>
          <w:p>
            <w:pPr>
              <w:pStyle w:val="54"/>
              <w:jc w:val="center"/>
            </w:pPr>
            <w:r>
              <w:rPr>
                <w:rFonts w:hint="eastAsia"/>
              </w:rPr>
              <w:t>水面率</w:t>
            </w:r>
          </w:p>
        </w:tc>
        <w:tc>
          <w:tcPr>
            <w:tcW w:w="567" w:type="dxa"/>
            <w:vAlign w:val="center"/>
          </w:tcPr>
          <w:p>
            <w:pPr>
              <w:pStyle w:val="54"/>
              <w:jc w:val="center"/>
            </w:pPr>
            <w:r>
              <w:rPr>
                <w:rFonts w:hint="eastAsia"/>
              </w:rPr>
              <w:t>%</w:t>
            </w:r>
          </w:p>
        </w:tc>
        <w:tc>
          <w:tcPr>
            <w:tcW w:w="1701" w:type="dxa"/>
            <w:vAlign w:val="center"/>
          </w:tcPr>
          <w:p>
            <w:pPr>
              <w:pStyle w:val="54"/>
              <w:jc w:val="center"/>
            </w:pPr>
            <w:r>
              <w:rPr>
                <w:rFonts w:hint="eastAsia"/>
              </w:rPr>
              <w:t>面积不减少、</w:t>
            </w:r>
          </w:p>
          <w:p>
            <w:pPr>
              <w:pStyle w:val="54"/>
              <w:jc w:val="center"/>
            </w:pPr>
            <w:r>
              <w:rPr>
                <w:rFonts w:hint="eastAsia"/>
              </w:rPr>
              <w:t>功能不减退</w:t>
            </w:r>
          </w:p>
        </w:tc>
        <w:tc>
          <w:tcPr>
            <w:tcW w:w="851" w:type="dxa"/>
            <w:vAlign w:val="center"/>
          </w:tcPr>
          <w:p>
            <w:pPr>
              <w:pStyle w:val="54"/>
              <w:jc w:val="center"/>
            </w:pPr>
            <w:r>
              <w:rPr>
                <w:rFonts w:hint="eastAsia"/>
              </w:rPr>
              <w:t>参考性</w:t>
            </w:r>
          </w:p>
        </w:tc>
        <w:tc>
          <w:tcPr>
            <w:tcW w:w="2707" w:type="dxa"/>
            <w:vAlign w:val="center"/>
          </w:tcPr>
          <w:p>
            <w:pPr>
              <w:pStyle w:val="54"/>
              <w:jc w:val="center"/>
            </w:pPr>
            <w:r>
              <w:rPr>
                <w:rFonts w:hint="eastAsia"/>
              </w:rPr>
              <w:t>面积不减少、功能不减退</w:t>
            </w:r>
          </w:p>
        </w:tc>
        <w:tc>
          <w:tcPr>
            <w:tcW w:w="0" w:type="auto"/>
            <w:vAlign w:val="center"/>
          </w:tcPr>
          <w:p>
            <w:pPr>
              <w:pStyle w:val="54"/>
              <w:jc w:val="center"/>
              <w:rPr>
                <w:color w:val="000000"/>
                <w:spacing w:val="-12"/>
              </w:rPr>
            </w:pPr>
            <w:r>
              <w:rPr>
                <w:rFonts w:hint="eastAsia"/>
              </w:rPr>
              <w:t>面积不减少、功能不减退</w:t>
            </w:r>
          </w:p>
        </w:tc>
        <w:tc>
          <w:tcPr>
            <w:tcW w:w="0" w:type="auto"/>
            <w:vAlign w:val="center"/>
          </w:tcPr>
          <w:p>
            <w:pPr>
              <w:pStyle w:val="54"/>
              <w:jc w:val="center"/>
              <w:rPr>
                <w:color w:val="000000"/>
                <w:spacing w:val="-12"/>
              </w:rPr>
            </w:pPr>
            <w:r>
              <w:rPr>
                <w:rFonts w:hint="eastAsia"/>
              </w:rPr>
              <w:t>面积不减少、功能不减退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9" w:type="dxa"/>
            <w:vMerge w:val="continue"/>
            <w:vAlign w:val="center"/>
          </w:tcPr>
          <w:p>
            <w:pPr>
              <w:pStyle w:val="54"/>
              <w:jc w:val="center"/>
            </w:pPr>
          </w:p>
        </w:tc>
        <w:tc>
          <w:tcPr>
            <w:tcW w:w="709" w:type="dxa"/>
            <w:vMerge w:val="continue"/>
            <w:vAlign w:val="center"/>
          </w:tcPr>
          <w:p>
            <w:pPr>
              <w:pStyle w:val="54"/>
              <w:jc w:val="center"/>
            </w:pPr>
          </w:p>
        </w:tc>
        <w:tc>
          <w:tcPr>
            <w:tcW w:w="425" w:type="dxa"/>
            <w:vAlign w:val="center"/>
          </w:tcPr>
          <w:p>
            <w:pPr>
              <w:pStyle w:val="54"/>
              <w:jc w:val="center"/>
            </w:pPr>
            <w:r>
              <w:rPr>
                <w:rFonts w:hint="eastAsia"/>
              </w:rPr>
              <w:t>2</w:t>
            </w:r>
            <w:r>
              <w:t>5</w:t>
            </w:r>
          </w:p>
        </w:tc>
        <w:tc>
          <w:tcPr>
            <w:tcW w:w="2693" w:type="dxa"/>
            <w:vAlign w:val="center"/>
          </w:tcPr>
          <w:p>
            <w:pPr>
              <w:pStyle w:val="54"/>
              <w:jc w:val="center"/>
            </w:pPr>
            <w:r>
              <w:rPr>
                <w:rFonts w:hint="eastAsia"/>
              </w:rPr>
              <w:t>自然岸线保有率</w:t>
            </w:r>
          </w:p>
        </w:tc>
        <w:tc>
          <w:tcPr>
            <w:tcW w:w="567" w:type="dxa"/>
            <w:vAlign w:val="center"/>
          </w:tcPr>
          <w:p>
            <w:pPr>
              <w:pStyle w:val="54"/>
              <w:jc w:val="center"/>
            </w:pPr>
            <w:r>
              <w:rPr>
                <w:rFonts w:hint="eastAsia"/>
              </w:rPr>
              <w:t>%</w:t>
            </w:r>
          </w:p>
        </w:tc>
        <w:tc>
          <w:tcPr>
            <w:tcW w:w="1701" w:type="dxa"/>
            <w:vAlign w:val="center"/>
          </w:tcPr>
          <w:p>
            <w:pPr>
              <w:pStyle w:val="54"/>
              <w:jc w:val="center"/>
            </w:pPr>
            <w:r>
              <w:rPr>
                <w:rFonts w:hint="eastAsia"/>
              </w:rPr>
              <w:t>完成上级管控目标</w:t>
            </w:r>
          </w:p>
        </w:tc>
        <w:tc>
          <w:tcPr>
            <w:tcW w:w="851" w:type="dxa"/>
            <w:vAlign w:val="center"/>
          </w:tcPr>
          <w:p>
            <w:pPr>
              <w:pStyle w:val="54"/>
              <w:jc w:val="center"/>
            </w:pPr>
            <w:r>
              <w:rPr>
                <w:rFonts w:hint="eastAsia"/>
              </w:rPr>
              <w:t>约束性</w:t>
            </w:r>
          </w:p>
        </w:tc>
        <w:tc>
          <w:tcPr>
            <w:tcW w:w="2707" w:type="dxa"/>
            <w:vAlign w:val="center"/>
          </w:tcPr>
          <w:p>
            <w:pPr>
              <w:pStyle w:val="54"/>
              <w:jc w:val="center"/>
            </w:pPr>
            <w:r>
              <w:rPr>
                <w:rFonts w:hint="eastAsia"/>
              </w:rPr>
              <w:t>-</w:t>
            </w:r>
          </w:p>
        </w:tc>
        <w:tc>
          <w:tcPr>
            <w:tcW w:w="0" w:type="auto"/>
            <w:vAlign w:val="center"/>
          </w:tcPr>
          <w:p>
            <w:pPr>
              <w:pStyle w:val="54"/>
              <w:jc w:val="center"/>
            </w:pPr>
            <w:r>
              <w:rPr>
                <w:rFonts w:hint="eastAsia"/>
              </w:rPr>
              <w:t>-</w:t>
            </w:r>
          </w:p>
        </w:tc>
        <w:tc>
          <w:tcPr>
            <w:tcW w:w="0" w:type="auto"/>
            <w:vAlign w:val="center"/>
          </w:tcPr>
          <w:p>
            <w:pPr>
              <w:pStyle w:val="54"/>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9" w:type="dxa"/>
            <w:vMerge w:val="continue"/>
            <w:vAlign w:val="center"/>
          </w:tcPr>
          <w:p>
            <w:pPr>
              <w:pStyle w:val="54"/>
              <w:jc w:val="center"/>
            </w:pPr>
          </w:p>
        </w:tc>
        <w:tc>
          <w:tcPr>
            <w:tcW w:w="709" w:type="dxa"/>
            <w:vMerge w:val="continue"/>
            <w:vAlign w:val="center"/>
          </w:tcPr>
          <w:p>
            <w:pPr>
              <w:pStyle w:val="54"/>
              <w:jc w:val="center"/>
            </w:pPr>
          </w:p>
        </w:tc>
        <w:tc>
          <w:tcPr>
            <w:tcW w:w="425" w:type="dxa"/>
            <w:vAlign w:val="center"/>
          </w:tcPr>
          <w:p>
            <w:pPr>
              <w:pStyle w:val="54"/>
              <w:jc w:val="center"/>
            </w:pPr>
            <w:r>
              <w:rPr>
                <w:rFonts w:hint="eastAsia"/>
              </w:rPr>
              <w:t>26</w:t>
            </w:r>
          </w:p>
        </w:tc>
        <w:tc>
          <w:tcPr>
            <w:tcW w:w="2693" w:type="dxa"/>
            <w:vAlign w:val="center"/>
          </w:tcPr>
          <w:p>
            <w:pPr>
              <w:pStyle w:val="54"/>
              <w:jc w:val="center"/>
            </w:pPr>
            <w:r>
              <w:rPr>
                <w:rFonts w:hint="eastAsia"/>
              </w:rPr>
              <w:t>河湖岸线保有率</w:t>
            </w:r>
          </w:p>
        </w:tc>
        <w:tc>
          <w:tcPr>
            <w:tcW w:w="567" w:type="dxa"/>
            <w:vAlign w:val="center"/>
          </w:tcPr>
          <w:p>
            <w:pPr>
              <w:pStyle w:val="54"/>
              <w:jc w:val="center"/>
            </w:pPr>
            <w:r>
              <w:rPr>
                <w:rFonts w:hint="eastAsia"/>
              </w:rPr>
              <w:t>%</w:t>
            </w:r>
          </w:p>
        </w:tc>
        <w:tc>
          <w:tcPr>
            <w:tcW w:w="1701" w:type="dxa"/>
            <w:vAlign w:val="center"/>
          </w:tcPr>
          <w:p>
            <w:pPr>
              <w:pStyle w:val="54"/>
              <w:jc w:val="center"/>
            </w:pPr>
            <w:r>
              <w:rPr>
                <w:rFonts w:hint="eastAsia"/>
              </w:rPr>
              <w:t>完成上级管控目标</w:t>
            </w:r>
          </w:p>
        </w:tc>
        <w:tc>
          <w:tcPr>
            <w:tcW w:w="851" w:type="dxa"/>
            <w:vAlign w:val="center"/>
          </w:tcPr>
          <w:p>
            <w:pPr>
              <w:pStyle w:val="54"/>
              <w:jc w:val="center"/>
            </w:pPr>
            <w:r>
              <w:rPr>
                <w:rFonts w:hint="eastAsia"/>
              </w:rPr>
              <w:t>参考性</w:t>
            </w:r>
          </w:p>
        </w:tc>
        <w:tc>
          <w:tcPr>
            <w:tcW w:w="2707" w:type="dxa"/>
            <w:vAlign w:val="center"/>
          </w:tcPr>
          <w:p>
            <w:pPr>
              <w:pStyle w:val="54"/>
              <w:jc w:val="center"/>
            </w:pPr>
            <w:r>
              <w:rPr>
                <w:rFonts w:hint="eastAsia"/>
              </w:rPr>
              <w:t>上级无管控目标</w:t>
            </w:r>
          </w:p>
        </w:tc>
        <w:tc>
          <w:tcPr>
            <w:tcW w:w="0" w:type="auto"/>
            <w:vAlign w:val="center"/>
          </w:tcPr>
          <w:p>
            <w:pPr>
              <w:pStyle w:val="54"/>
              <w:jc w:val="center"/>
              <w:rPr>
                <w:color w:val="000000"/>
                <w:spacing w:val="-12"/>
              </w:rPr>
            </w:pPr>
            <w:r>
              <w:rPr>
                <w:rFonts w:hint="eastAsia"/>
              </w:rPr>
              <w:t>完成上级管控目标</w:t>
            </w:r>
          </w:p>
        </w:tc>
        <w:tc>
          <w:tcPr>
            <w:tcW w:w="0" w:type="auto"/>
            <w:vAlign w:val="center"/>
          </w:tcPr>
          <w:p>
            <w:pPr>
              <w:pStyle w:val="54"/>
              <w:jc w:val="center"/>
              <w:rPr>
                <w:color w:val="000000"/>
                <w:spacing w:val="-12"/>
              </w:rPr>
            </w:pPr>
            <w:r>
              <w:rPr>
                <w:rFonts w:hint="eastAsia"/>
              </w:rPr>
              <w:t>完成上级管控目标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9" w:type="dxa"/>
            <w:vMerge w:val="restart"/>
            <w:vAlign w:val="center"/>
          </w:tcPr>
          <w:p>
            <w:pPr>
              <w:pStyle w:val="54"/>
              <w:jc w:val="center"/>
            </w:pPr>
            <w:r>
              <w:rPr>
                <w:rFonts w:hint="eastAsia"/>
              </w:rPr>
              <w:t>生态经济</w:t>
            </w:r>
          </w:p>
        </w:tc>
        <w:tc>
          <w:tcPr>
            <w:tcW w:w="709" w:type="dxa"/>
            <w:vMerge w:val="restart"/>
            <w:vAlign w:val="center"/>
          </w:tcPr>
          <w:p>
            <w:pPr>
              <w:pStyle w:val="54"/>
              <w:jc w:val="center"/>
            </w:pPr>
            <w:r>
              <w:rPr>
                <w:rFonts w:hint="eastAsia"/>
              </w:rPr>
              <w:t>（六）资源节约与利用</w:t>
            </w:r>
          </w:p>
        </w:tc>
        <w:tc>
          <w:tcPr>
            <w:tcW w:w="425" w:type="dxa"/>
            <w:vAlign w:val="center"/>
          </w:tcPr>
          <w:p>
            <w:pPr>
              <w:pStyle w:val="54"/>
              <w:jc w:val="center"/>
            </w:pPr>
            <w:r>
              <w:rPr>
                <w:rFonts w:hint="eastAsia"/>
              </w:rPr>
              <w:t>27</w:t>
            </w:r>
          </w:p>
        </w:tc>
        <w:tc>
          <w:tcPr>
            <w:tcW w:w="2693" w:type="dxa"/>
            <w:vAlign w:val="center"/>
          </w:tcPr>
          <w:p>
            <w:pPr>
              <w:pStyle w:val="54"/>
              <w:jc w:val="center"/>
            </w:pPr>
            <w:r>
              <w:rPr>
                <w:rFonts w:hint="eastAsia"/>
              </w:rPr>
              <w:t>能源降耗增效：</w:t>
            </w:r>
          </w:p>
          <w:p>
            <w:pPr>
              <w:pStyle w:val="54"/>
              <w:jc w:val="center"/>
            </w:pPr>
            <w:r>
              <w:rPr>
                <w:rFonts w:hint="eastAsia" w:cs="宋体"/>
              </w:rPr>
              <w:t>①</w:t>
            </w:r>
            <w:r>
              <w:rPr>
                <w:rFonts w:hint="eastAsia"/>
              </w:rPr>
              <w:t>能源“双控”</w:t>
            </w:r>
          </w:p>
          <w:p>
            <w:pPr>
              <w:pStyle w:val="54"/>
              <w:jc w:val="center"/>
            </w:pPr>
            <w:r>
              <w:rPr>
                <w:rFonts w:hint="eastAsia" w:cs="宋体"/>
              </w:rPr>
              <w:t>②</w:t>
            </w:r>
            <w:r>
              <w:rPr>
                <w:rFonts w:hint="eastAsia"/>
              </w:rPr>
              <w:t>煤炭消费减量</w:t>
            </w:r>
          </w:p>
          <w:p>
            <w:pPr>
              <w:pStyle w:val="54"/>
              <w:jc w:val="center"/>
            </w:pPr>
          </w:p>
        </w:tc>
        <w:tc>
          <w:tcPr>
            <w:tcW w:w="567" w:type="dxa"/>
            <w:vAlign w:val="center"/>
          </w:tcPr>
          <w:p>
            <w:pPr>
              <w:pStyle w:val="54"/>
              <w:jc w:val="center"/>
            </w:pPr>
          </w:p>
          <w:p>
            <w:pPr>
              <w:pStyle w:val="54"/>
              <w:jc w:val="center"/>
            </w:pPr>
            <w:r>
              <w:rPr>
                <w:rFonts w:hint="eastAsia"/>
              </w:rPr>
              <w:t>-</w:t>
            </w:r>
          </w:p>
          <w:p>
            <w:pPr>
              <w:pStyle w:val="54"/>
              <w:jc w:val="center"/>
            </w:pPr>
          </w:p>
          <w:p>
            <w:pPr>
              <w:pStyle w:val="54"/>
              <w:jc w:val="center"/>
            </w:pPr>
            <w:r>
              <w:rPr>
                <w:rFonts w:hint="eastAsia"/>
              </w:rPr>
              <w:t>-</w:t>
            </w:r>
          </w:p>
          <w:p>
            <w:pPr>
              <w:pStyle w:val="54"/>
              <w:jc w:val="center"/>
            </w:pPr>
          </w:p>
        </w:tc>
        <w:tc>
          <w:tcPr>
            <w:tcW w:w="1701" w:type="dxa"/>
            <w:vAlign w:val="center"/>
          </w:tcPr>
          <w:p>
            <w:pPr>
              <w:pStyle w:val="54"/>
              <w:jc w:val="center"/>
            </w:pPr>
            <w:r>
              <w:rPr>
                <w:rFonts w:hint="eastAsia"/>
              </w:rPr>
              <w:t>完成上级规定的年度能源“双控”目标任务</w:t>
            </w:r>
          </w:p>
          <w:p>
            <w:pPr>
              <w:pStyle w:val="54"/>
              <w:jc w:val="center"/>
            </w:pPr>
            <w:r>
              <w:rPr>
                <w:rFonts w:hint="eastAsia"/>
              </w:rPr>
              <w:t>完成上级规定的年度减煤目标任务</w:t>
            </w:r>
          </w:p>
        </w:tc>
        <w:tc>
          <w:tcPr>
            <w:tcW w:w="851" w:type="dxa"/>
            <w:vAlign w:val="center"/>
          </w:tcPr>
          <w:p>
            <w:pPr>
              <w:pStyle w:val="54"/>
              <w:jc w:val="center"/>
            </w:pPr>
            <w:r>
              <w:rPr>
                <w:rFonts w:hint="eastAsia"/>
              </w:rPr>
              <w:t>约束性</w:t>
            </w:r>
          </w:p>
        </w:tc>
        <w:tc>
          <w:tcPr>
            <w:tcW w:w="2707" w:type="dxa"/>
            <w:vAlign w:val="center"/>
          </w:tcPr>
          <w:p>
            <w:pPr>
              <w:pStyle w:val="54"/>
              <w:jc w:val="center"/>
            </w:pPr>
            <w:r>
              <w:rPr>
                <w:rFonts w:hint="eastAsia" w:cs="宋体"/>
              </w:rPr>
              <w:t>①</w:t>
            </w:r>
            <w:r>
              <w:rPr>
                <w:rFonts w:hint="eastAsia"/>
              </w:rPr>
              <w:t>单位GDP能耗同比增长0.9%；总能耗同比增长8.9%</w:t>
            </w:r>
            <w:r>
              <w:t xml:space="preserve"> </w:t>
            </w:r>
          </w:p>
          <w:p>
            <w:pPr>
              <w:pStyle w:val="54"/>
              <w:jc w:val="center"/>
            </w:pPr>
            <w:r>
              <w:rPr>
                <w:rFonts w:hint="eastAsia"/>
              </w:rPr>
              <w:t>②完成</w:t>
            </w:r>
          </w:p>
        </w:tc>
        <w:tc>
          <w:tcPr>
            <w:tcW w:w="0" w:type="auto"/>
            <w:vAlign w:val="center"/>
          </w:tcPr>
          <w:p>
            <w:pPr>
              <w:pStyle w:val="54"/>
              <w:jc w:val="center"/>
            </w:pPr>
            <w:r>
              <w:rPr>
                <w:rFonts w:hint="eastAsia" w:cs="宋体"/>
              </w:rPr>
              <w:t>①</w:t>
            </w:r>
            <w:r>
              <w:rPr>
                <w:rFonts w:hint="eastAsia"/>
              </w:rPr>
              <w:t>完成上级规定的年度能源“双控”目标任务</w:t>
            </w:r>
          </w:p>
          <w:p>
            <w:pPr>
              <w:pStyle w:val="54"/>
              <w:jc w:val="center"/>
              <w:rPr>
                <w:color w:val="000000"/>
              </w:rPr>
            </w:pPr>
            <w:r>
              <w:rPr>
                <w:rFonts w:hint="eastAsia" w:cs="宋体"/>
              </w:rPr>
              <w:t>②</w:t>
            </w:r>
            <w:r>
              <w:rPr>
                <w:rFonts w:hint="eastAsia"/>
              </w:rPr>
              <w:t>完成上级规定的年度减煤目标任务</w:t>
            </w:r>
          </w:p>
        </w:tc>
        <w:tc>
          <w:tcPr>
            <w:tcW w:w="0" w:type="auto"/>
            <w:vAlign w:val="center"/>
          </w:tcPr>
          <w:p>
            <w:pPr>
              <w:pStyle w:val="54"/>
              <w:jc w:val="center"/>
            </w:pPr>
            <w:r>
              <w:rPr>
                <w:rFonts w:hint="eastAsia" w:cs="宋体"/>
              </w:rPr>
              <w:t>①</w:t>
            </w:r>
            <w:r>
              <w:rPr>
                <w:rFonts w:hint="eastAsia"/>
              </w:rPr>
              <w:t>完成上级规定的年度能源“双控”目标任务</w:t>
            </w:r>
          </w:p>
          <w:p>
            <w:pPr>
              <w:pStyle w:val="54"/>
              <w:jc w:val="center"/>
              <w:rPr>
                <w:color w:val="000000"/>
              </w:rPr>
            </w:pPr>
            <w:r>
              <w:rPr>
                <w:rFonts w:hint="eastAsia" w:cs="宋体"/>
              </w:rPr>
              <w:t>②</w:t>
            </w:r>
            <w:r>
              <w:rPr>
                <w:rFonts w:hint="eastAsia"/>
              </w:rPr>
              <w:t>完成上级规定的年度减煤目标任务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9" w:type="dxa"/>
            <w:vMerge w:val="continue"/>
            <w:vAlign w:val="center"/>
          </w:tcPr>
          <w:p>
            <w:pPr>
              <w:pStyle w:val="54"/>
              <w:jc w:val="center"/>
            </w:pPr>
          </w:p>
        </w:tc>
        <w:tc>
          <w:tcPr>
            <w:tcW w:w="709" w:type="dxa"/>
            <w:vMerge w:val="continue"/>
            <w:vAlign w:val="center"/>
          </w:tcPr>
          <w:p>
            <w:pPr>
              <w:pStyle w:val="54"/>
              <w:jc w:val="center"/>
            </w:pPr>
          </w:p>
        </w:tc>
        <w:tc>
          <w:tcPr>
            <w:tcW w:w="425" w:type="dxa"/>
            <w:vAlign w:val="center"/>
          </w:tcPr>
          <w:p>
            <w:pPr>
              <w:pStyle w:val="54"/>
              <w:jc w:val="center"/>
            </w:pPr>
            <w:r>
              <w:rPr>
                <w:rFonts w:hint="eastAsia"/>
              </w:rPr>
              <w:t>28</w:t>
            </w:r>
          </w:p>
        </w:tc>
        <w:tc>
          <w:tcPr>
            <w:tcW w:w="2693" w:type="dxa"/>
            <w:vAlign w:val="center"/>
          </w:tcPr>
          <w:p>
            <w:pPr>
              <w:pStyle w:val="54"/>
              <w:jc w:val="center"/>
            </w:pPr>
            <w:r>
              <w:rPr>
                <w:rFonts w:hint="eastAsia"/>
              </w:rPr>
              <w:t>节约用水：</w:t>
            </w:r>
          </w:p>
          <w:p>
            <w:pPr>
              <w:pStyle w:val="54"/>
              <w:jc w:val="center"/>
            </w:pPr>
            <w:r>
              <w:rPr>
                <w:rFonts w:hint="eastAsia" w:cs="宋体"/>
              </w:rPr>
              <w:t>①</w:t>
            </w:r>
            <w:r>
              <w:rPr>
                <w:rFonts w:hint="eastAsia"/>
              </w:rPr>
              <w:t>单位GDP用水量</w:t>
            </w:r>
          </w:p>
          <w:p>
            <w:pPr>
              <w:pStyle w:val="54"/>
              <w:jc w:val="center"/>
            </w:pPr>
            <w:r>
              <w:rPr>
                <w:rFonts w:hint="eastAsia" w:cs="宋体"/>
              </w:rPr>
              <w:t>②</w:t>
            </w:r>
            <w:r>
              <w:rPr>
                <w:rFonts w:hint="eastAsia"/>
              </w:rPr>
              <w:t>万元工业增加值用水量</w:t>
            </w:r>
          </w:p>
        </w:tc>
        <w:tc>
          <w:tcPr>
            <w:tcW w:w="567" w:type="dxa"/>
            <w:vAlign w:val="center"/>
          </w:tcPr>
          <w:p>
            <w:pPr>
              <w:pStyle w:val="54"/>
              <w:jc w:val="center"/>
            </w:pPr>
            <w:r>
              <w:rPr>
                <w:rFonts w:hint="eastAsia"/>
              </w:rPr>
              <w:t>立方米</w:t>
            </w:r>
          </w:p>
          <w:p>
            <w:pPr>
              <w:pStyle w:val="54"/>
              <w:jc w:val="center"/>
            </w:pPr>
            <w:r>
              <w:rPr>
                <w:rFonts w:hint="eastAsia"/>
              </w:rPr>
              <w:t>/万元</w:t>
            </w:r>
          </w:p>
        </w:tc>
        <w:tc>
          <w:tcPr>
            <w:tcW w:w="1701" w:type="dxa"/>
            <w:vAlign w:val="center"/>
          </w:tcPr>
          <w:p>
            <w:pPr>
              <w:pStyle w:val="54"/>
              <w:jc w:val="center"/>
            </w:pPr>
          </w:p>
          <w:p>
            <w:pPr>
              <w:pStyle w:val="54"/>
              <w:jc w:val="center"/>
            </w:pPr>
            <w:r>
              <w:rPr>
                <w:rFonts w:hint="eastAsia"/>
              </w:rPr>
              <w:t>≤31，</w:t>
            </w:r>
            <w:r>
              <w:rPr>
                <w:rFonts w:hint="eastAsia"/>
                <w:spacing w:val="-12"/>
              </w:rPr>
              <w:t>或持续下降</w:t>
            </w:r>
            <w:r>
              <w:rPr>
                <w:rFonts w:hint="eastAsia"/>
              </w:rPr>
              <w:t>且下降幅度高于全省平均值</w:t>
            </w:r>
          </w:p>
          <w:p>
            <w:pPr>
              <w:pStyle w:val="54"/>
              <w:jc w:val="center"/>
            </w:pPr>
            <w:r>
              <w:rPr>
                <w:rFonts w:hint="eastAsia"/>
              </w:rPr>
              <w:t>逐年降低</w:t>
            </w:r>
          </w:p>
        </w:tc>
        <w:tc>
          <w:tcPr>
            <w:tcW w:w="851" w:type="dxa"/>
            <w:vAlign w:val="center"/>
          </w:tcPr>
          <w:p>
            <w:pPr>
              <w:pStyle w:val="54"/>
              <w:jc w:val="center"/>
            </w:pPr>
            <w:r>
              <w:rPr>
                <w:rFonts w:hint="eastAsia"/>
              </w:rPr>
              <w:t>约束性</w:t>
            </w:r>
          </w:p>
        </w:tc>
        <w:tc>
          <w:tcPr>
            <w:tcW w:w="2707" w:type="dxa"/>
            <w:vAlign w:val="center"/>
          </w:tcPr>
          <w:p>
            <w:pPr>
              <w:pStyle w:val="54"/>
              <w:jc w:val="center"/>
            </w:pPr>
            <w:r>
              <w:rPr>
                <w:rFonts w:hint="eastAsia"/>
              </w:rPr>
              <w:t>①14.7</w:t>
            </w:r>
          </w:p>
          <w:p>
            <w:pPr>
              <w:pStyle w:val="54"/>
              <w:jc w:val="center"/>
            </w:pPr>
            <w:r>
              <w:rPr>
                <w:rFonts w:hint="eastAsia"/>
              </w:rPr>
              <w:t>②逐年降低</w:t>
            </w:r>
          </w:p>
        </w:tc>
        <w:tc>
          <w:tcPr>
            <w:tcW w:w="0" w:type="auto"/>
            <w:vAlign w:val="center"/>
          </w:tcPr>
          <w:p>
            <w:pPr>
              <w:pStyle w:val="54"/>
              <w:jc w:val="center"/>
            </w:pPr>
            <w:r>
              <w:rPr>
                <w:rFonts w:hint="eastAsia"/>
              </w:rPr>
              <w:t>①</w:t>
            </w:r>
            <w:r>
              <w:rPr>
                <w:rFonts w:hint="eastAsia"/>
                <w:spacing w:val="-12"/>
              </w:rPr>
              <w:t>持续下降</w:t>
            </w:r>
            <w:r>
              <w:rPr>
                <w:rFonts w:hint="eastAsia"/>
              </w:rPr>
              <w:t>且下降幅度高于全省平均值</w:t>
            </w:r>
          </w:p>
          <w:p>
            <w:pPr>
              <w:pStyle w:val="54"/>
              <w:jc w:val="center"/>
              <w:rPr>
                <w:color w:val="000000"/>
                <w:spacing w:val="-12"/>
              </w:rPr>
            </w:pPr>
            <w:r>
              <w:rPr>
                <w:rFonts w:hint="eastAsia"/>
              </w:rPr>
              <w:t>②逐年降低</w:t>
            </w:r>
          </w:p>
        </w:tc>
        <w:tc>
          <w:tcPr>
            <w:tcW w:w="0" w:type="auto"/>
            <w:vAlign w:val="center"/>
          </w:tcPr>
          <w:p>
            <w:pPr>
              <w:pStyle w:val="54"/>
              <w:jc w:val="center"/>
            </w:pPr>
            <w:r>
              <w:rPr>
                <w:rFonts w:hint="eastAsia"/>
              </w:rPr>
              <w:t>①</w:t>
            </w:r>
            <w:r>
              <w:rPr>
                <w:rFonts w:hint="eastAsia"/>
                <w:spacing w:val="-12"/>
              </w:rPr>
              <w:t>持续下降</w:t>
            </w:r>
            <w:r>
              <w:rPr>
                <w:rFonts w:hint="eastAsia"/>
              </w:rPr>
              <w:t>且下降幅度高于全省平均值</w:t>
            </w:r>
          </w:p>
          <w:p>
            <w:pPr>
              <w:pStyle w:val="54"/>
              <w:jc w:val="center"/>
              <w:rPr>
                <w:color w:val="000000"/>
                <w:spacing w:val="-12"/>
              </w:rPr>
            </w:pPr>
            <w:r>
              <w:rPr>
                <w:rFonts w:hint="eastAsia"/>
              </w:rPr>
              <w:t>②逐年降低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9" w:type="dxa"/>
            <w:vMerge w:val="continue"/>
            <w:vAlign w:val="center"/>
          </w:tcPr>
          <w:p>
            <w:pPr>
              <w:pStyle w:val="54"/>
              <w:jc w:val="center"/>
            </w:pPr>
          </w:p>
        </w:tc>
        <w:tc>
          <w:tcPr>
            <w:tcW w:w="709" w:type="dxa"/>
            <w:vMerge w:val="continue"/>
            <w:vAlign w:val="center"/>
          </w:tcPr>
          <w:p>
            <w:pPr>
              <w:pStyle w:val="54"/>
              <w:jc w:val="center"/>
            </w:pPr>
          </w:p>
        </w:tc>
        <w:tc>
          <w:tcPr>
            <w:tcW w:w="425" w:type="dxa"/>
            <w:vAlign w:val="center"/>
          </w:tcPr>
          <w:p>
            <w:pPr>
              <w:pStyle w:val="54"/>
              <w:jc w:val="center"/>
            </w:pPr>
            <w:r>
              <w:rPr>
                <w:rFonts w:hint="eastAsia"/>
              </w:rPr>
              <w:t>29</w:t>
            </w:r>
          </w:p>
        </w:tc>
        <w:tc>
          <w:tcPr>
            <w:tcW w:w="2693" w:type="dxa"/>
            <w:vAlign w:val="center"/>
          </w:tcPr>
          <w:p>
            <w:pPr>
              <w:pStyle w:val="54"/>
              <w:jc w:val="center"/>
            </w:pPr>
            <w:r>
              <w:rPr>
                <w:rFonts w:hint="eastAsia"/>
              </w:rPr>
              <w:t>单位国内生产总值建设用地使用面积下降率</w:t>
            </w:r>
          </w:p>
        </w:tc>
        <w:tc>
          <w:tcPr>
            <w:tcW w:w="567" w:type="dxa"/>
            <w:vAlign w:val="center"/>
          </w:tcPr>
          <w:p>
            <w:pPr>
              <w:pStyle w:val="54"/>
              <w:jc w:val="center"/>
            </w:pPr>
            <w:r>
              <w:rPr>
                <w:rFonts w:hint="eastAsia"/>
              </w:rPr>
              <w:t>%</w:t>
            </w:r>
          </w:p>
        </w:tc>
        <w:tc>
          <w:tcPr>
            <w:tcW w:w="1701" w:type="dxa"/>
            <w:vAlign w:val="center"/>
          </w:tcPr>
          <w:p>
            <w:pPr>
              <w:pStyle w:val="54"/>
              <w:jc w:val="center"/>
            </w:pPr>
            <w:r>
              <w:rPr>
                <w:rFonts w:hint="eastAsia"/>
              </w:rPr>
              <w:t>≥4.5</w:t>
            </w:r>
          </w:p>
        </w:tc>
        <w:tc>
          <w:tcPr>
            <w:tcW w:w="851" w:type="dxa"/>
            <w:vAlign w:val="center"/>
          </w:tcPr>
          <w:p>
            <w:pPr>
              <w:pStyle w:val="54"/>
              <w:jc w:val="center"/>
            </w:pPr>
            <w:r>
              <w:rPr>
                <w:rFonts w:hint="eastAsia"/>
              </w:rPr>
              <w:t>参考性</w:t>
            </w:r>
          </w:p>
        </w:tc>
        <w:tc>
          <w:tcPr>
            <w:tcW w:w="2707" w:type="dxa"/>
            <w:vAlign w:val="center"/>
          </w:tcPr>
          <w:p>
            <w:pPr>
              <w:pStyle w:val="54"/>
              <w:jc w:val="center"/>
            </w:pPr>
            <w:r>
              <w:rPr>
                <w:rFonts w:hint="eastAsia"/>
              </w:rPr>
              <w:t>8</w:t>
            </w:r>
            <w:r>
              <w:t>.48</w:t>
            </w:r>
            <w:r>
              <w:rPr>
                <w:rFonts w:hint="eastAsia"/>
                <w:szCs w:val="24"/>
                <w:vertAlign w:val="superscript"/>
              </w:rPr>
              <w:t>1</w:t>
            </w:r>
          </w:p>
        </w:tc>
        <w:tc>
          <w:tcPr>
            <w:tcW w:w="0" w:type="auto"/>
            <w:vAlign w:val="center"/>
          </w:tcPr>
          <w:p>
            <w:pPr>
              <w:pStyle w:val="54"/>
              <w:jc w:val="center"/>
              <w:rPr>
                <w:color w:val="000000"/>
                <w:spacing w:val="-12"/>
              </w:rPr>
            </w:pPr>
            <w:r>
              <w:rPr>
                <w:rFonts w:hint="eastAsia"/>
              </w:rPr>
              <w:t>≥4.5</w:t>
            </w:r>
          </w:p>
        </w:tc>
        <w:tc>
          <w:tcPr>
            <w:tcW w:w="0" w:type="auto"/>
            <w:vAlign w:val="center"/>
          </w:tcPr>
          <w:p>
            <w:pPr>
              <w:pStyle w:val="54"/>
              <w:jc w:val="center"/>
              <w:rPr>
                <w:color w:val="000000"/>
                <w:spacing w:val="-12"/>
              </w:rPr>
            </w:pPr>
            <w:r>
              <w:rPr>
                <w:rFonts w:hint="eastAsia"/>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9" w:type="dxa"/>
            <w:vMerge w:val="continue"/>
            <w:vAlign w:val="center"/>
          </w:tcPr>
          <w:p>
            <w:pPr>
              <w:pStyle w:val="54"/>
              <w:jc w:val="center"/>
            </w:pPr>
          </w:p>
        </w:tc>
        <w:tc>
          <w:tcPr>
            <w:tcW w:w="709" w:type="dxa"/>
            <w:vMerge w:val="continue"/>
            <w:vAlign w:val="center"/>
          </w:tcPr>
          <w:p>
            <w:pPr>
              <w:pStyle w:val="54"/>
              <w:jc w:val="center"/>
            </w:pPr>
          </w:p>
        </w:tc>
        <w:tc>
          <w:tcPr>
            <w:tcW w:w="425" w:type="dxa"/>
            <w:vAlign w:val="center"/>
          </w:tcPr>
          <w:p>
            <w:pPr>
              <w:pStyle w:val="54"/>
              <w:jc w:val="center"/>
            </w:pPr>
            <w:r>
              <w:t>30</w:t>
            </w:r>
          </w:p>
        </w:tc>
        <w:tc>
          <w:tcPr>
            <w:tcW w:w="2693" w:type="dxa"/>
            <w:vAlign w:val="center"/>
          </w:tcPr>
          <w:p>
            <w:pPr>
              <w:pStyle w:val="54"/>
              <w:jc w:val="center"/>
            </w:pPr>
            <w:r>
              <w:rPr>
                <w:rFonts w:hint="eastAsia"/>
              </w:rPr>
              <w:t>碳排放强度</w:t>
            </w:r>
          </w:p>
        </w:tc>
        <w:tc>
          <w:tcPr>
            <w:tcW w:w="567" w:type="dxa"/>
            <w:vAlign w:val="center"/>
          </w:tcPr>
          <w:p>
            <w:pPr>
              <w:pStyle w:val="54"/>
              <w:jc w:val="center"/>
            </w:pPr>
            <w:r>
              <w:rPr>
                <w:rFonts w:hint="eastAsia"/>
              </w:rPr>
              <w:t>万吨/万元</w:t>
            </w:r>
          </w:p>
        </w:tc>
        <w:tc>
          <w:tcPr>
            <w:tcW w:w="1701" w:type="dxa"/>
            <w:vAlign w:val="center"/>
          </w:tcPr>
          <w:p>
            <w:pPr>
              <w:pStyle w:val="54"/>
              <w:jc w:val="center"/>
            </w:pPr>
            <w:r>
              <w:rPr>
                <w:rFonts w:hint="eastAsia"/>
              </w:rPr>
              <w:t>完成年度任务</w:t>
            </w:r>
          </w:p>
        </w:tc>
        <w:tc>
          <w:tcPr>
            <w:tcW w:w="851" w:type="dxa"/>
            <w:vAlign w:val="center"/>
          </w:tcPr>
          <w:p>
            <w:pPr>
              <w:pStyle w:val="54"/>
              <w:jc w:val="center"/>
            </w:pPr>
            <w:r>
              <w:rPr>
                <w:rFonts w:hint="eastAsia"/>
              </w:rPr>
              <w:t>约束性</w:t>
            </w:r>
          </w:p>
        </w:tc>
        <w:tc>
          <w:tcPr>
            <w:tcW w:w="2707" w:type="dxa"/>
            <w:vAlign w:val="center"/>
          </w:tcPr>
          <w:p>
            <w:pPr>
              <w:pStyle w:val="54"/>
              <w:jc w:val="center"/>
            </w:pPr>
            <w:r>
              <w:rPr>
                <w:rFonts w:hint="eastAsia"/>
              </w:rPr>
              <w:t>-</w:t>
            </w:r>
          </w:p>
        </w:tc>
        <w:tc>
          <w:tcPr>
            <w:tcW w:w="0" w:type="auto"/>
            <w:vAlign w:val="center"/>
          </w:tcPr>
          <w:p>
            <w:pPr>
              <w:pStyle w:val="54"/>
              <w:jc w:val="center"/>
            </w:pPr>
            <w:r>
              <w:rPr>
                <w:rFonts w:hint="eastAsia"/>
              </w:rPr>
              <w:t>-</w:t>
            </w:r>
          </w:p>
        </w:tc>
        <w:tc>
          <w:tcPr>
            <w:tcW w:w="0" w:type="auto"/>
            <w:vAlign w:val="center"/>
          </w:tcPr>
          <w:p>
            <w:pPr>
              <w:pStyle w:val="54"/>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9" w:type="dxa"/>
            <w:vMerge w:val="continue"/>
            <w:vAlign w:val="center"/>
          </w:tcPr>
          <w:p>
            <w:pPr>
              <w:pStyle w:val="54"/>
              <w:jc w:val="center"/>
            </w:pPr>
          </w:p>
        </w:tc>
        <w:tc>
          <w:tcPr>
            <w:tcW w:w="709" w:type="dxa"/>
            <w:vMerge w:val="continue"/>
            <w:vAlign w:val="center"/>
          </w:tcPr>
          <w:p>
            <w:pPr>
              <w:pStyle w:val="54"/>
              <w:jc w:val="center"/>
            </w:pPr>
          </w:p>
        </w:tc>
        <w:tc>
          <w:tcPr>
            <w:tcW w:w="425" w:type="dxa"/>
            <w:vAlign w:val="center"/>
          </w:tcPr>
          <w:p>
            <w:pPr>
              <w:pStyle w:val="54"/>
              <w:jc w:val="center"/>
            </w:pPr>
            <w:r>
              <w:t>31</w:t>
            </w:r>
          </w:p>
        </w:tc>
        <w:tc>
          <w:tcPr>
            <w:tcW w:w="2693" w:type="dxa"/>
            <w:vAlign w:val="center"/>
          </w:tcPr>
          <w:p>
            <w:pPr>
              <w:pStyle w:val="54"/>
              <w:jc w:val="center"/>
            </w:pPr>
            <w:r>
              <w:rPr>
                <w:rFonts w:hint="eastAsia"/>
              </w:rPr>
              <w:t>应当实施强制性清洁生产企业通过审核的比例</w:t>
            </w:r>
          </w:p>
        </w:tc>
        <w:tc>
          <w:tcPr>
            <w:tcW w:w="567" w:type="dxa"/>
            <w:vAlign w:val="center"/>
          </w:tcPr>
          <w:p>
            <w:pPr>
              <w:pStyle w:val="54"/>
              <w:jc w:val="center"/>
            </w:pPr>
            <w:r>
              <w:t>%</w:t>
            </w:r>
          </w:p>
        </w:tc>
        <w:tc>
          <w:tcPr>
            <w:tcW w:w="1701" w:type="dxa"/>
            <w:vAlign w:val="center"/>
          </w:tcPr>
          <w:p>
            <w:pPr>
              <w:pStyle w:val="54"/>
              <w:jc w:val="center"/>
            </w:pPr>
            <w:r>
              <w:rPr>
                <w:rFonts w:hint="eastAsia"/>
              </w:rPr>
              <w:t>完成年度审核计划</w:t>
            </w:r>
          </w:p>
        </w:tc>
        <w:tc>
          <w:tcPr>
            <w:tcW w:w="851" w:type="dxa"/>
            <w:vAlign w:val="center"/>
          </w:tcPr>
          <w:p>
            <w:pPr>
              <w:pStyle w:val="54"/>
              <w:jc w:val="center"/>
            </w:pPr>
            <w:r>
              <w:rPr>
                <w:rFonts w:hint="eastAsia"/>
              </w:rPr>
              <w:t>参考性</w:t>
            </w:r>
          </w:p>
        </w:tc>
        <w:tc>
          <w:tcPr>
            <w:tcW w:w="2707" w:type="dxa"/>
            <w:vAlign w:val="center"/>
          </w:tcPr>
          <w:p>
            <w:pPr>
              <w:pStyle w:val="54"/>
              <w:jc w:val="center"/>
            </w:pPr>
            <w:r>
              <w:rPr>
                <w:rFonts w:hint="eastAsia"/>
              </w:rPr>
              <w:t>-</w:t>
            </w:r>
          </w:p>
        </w:tc>
        <w:tc>
          <w:tcPr>
            <w:tcW w:w="0" w:type="auto"/>
            <w:vAlign w:val="center"/>
          </w:tcPr>
          <w:p>
            <w:pPr>
              <w:pStyle w:val="54"/>
              <w:jc w:val="center"/>
            </w:pPr>
            <w:r>
              <w:rPr>
                <w:rFonts w:hint="eastAsia"/>
              </w:rPr>
              <w:t>-</w:t>
            </w:r>
          </w:p>
        </w:tc>
        <w:tc>
          <w:tcPr>
            <w:tcW w:w="0" w:type="auto"/>
            <w:vAlign w:val="center"/>
          </w:tcPr>
          <w:p>
            <w:pPr>
              <w:pStyle w:val="54"/>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9" w:type="dxa"/>
            <w:vMerge w:val="continue"/>
            <w:vAlign w:val="center"/>
          </w:tcPr>
          <w:p>
            <w:pPr>
              <w:pStyle w:val="54"/>
              <w:jc w:val="center"/>
            </w:pPr>
          </w:p>
        </w:tc>
        <w:tc>
          <w:tcPr>
            <w:tcW w:w="709" w:type="dxa"/>
            <w:vMerge w:val="restart"/>
            <w:vAlign w:val="center"/>
          </w:tcPr>
          <w:p>
            <w:pPr>
              <w:pStyle w:val="54"/>
              <w:jc w:val="center"/>
            </w:pPr>
            <w:r>
              <w:rPr>
                <w:rFonts w:hint="eastAsia"/>
              </w:rPr>
              <w:t>（七）产业循环发展</w:t>
            </w:r>
          </w:p>
        </w:tc>
        <w:tc>
          <w:tcPr>
            <w:tcW w:w="425" w:type="dxa"/>
            <w:vAlign w:val="center"/>
          </w:tcPr>
          <w:p>
            <w:pPr>
              <w:pStyle w:val="54"/>
              <w:jc w:val="center"/>
            </w:pPr>
            <w:r>
              <w:rPr>
                <w:rFonts w:hint="eastAsia"/>
              </w:rPr>
              <w:t>32</w:t>
            </w:r>
          </w:p>
        </w:tc>
        <w:tc>
          <w:tcPr>
            <w:tcW w:w="2693" w:type="dxa"/>
            <w:vAlign w:val="center"/>
          </w:tcPr>
          <w:p>
            <w:pPr>
              <w:pStyle w:val="54"/>
              <w:jc w:val="center"/>
            </w:pPr>
            <w:r>
              <w:rPr>
                <w:rFonts w:hint="eastAsia"/>
              </w:rPr>
              <w:t>农业废弃物综合利用率：</w:t>
            </w:r>
          </w:p>
          <w:p>
            <w:pPr>
              <w:pStyle w:val="54"/>
              <w:jc w:val="center"/>
            </w:pPr>
            <w:r>
              <w:rPr>
                <w:rFonts w:hint="eastAsia" w:cs="宋体"/>
              </w:rPr>
              <w:t>①</w:t>
            </w:r>
            <w:r>
              <w:rPr>
                <w:rFonts w:hint="eastAsia"/>
              </w:rPr>
              <w:t>秸秆综合利用率</w:t>
            </w:r>
          </w:p>
          <w:p>
            <w:pPr>
              <w:pStyle w:val="54"/>
              <w:jc w:val="center"/>
            </w:pPr>
            <w:r>
              <w:rPr>
                <w:rFonts w:hint="eastAsia" w:cs="宋体"/>
              </w:rPr>
              <w:t>②</w:t>
            </w:r>
            <w:r>
              <w:rPr>
                <w:rFonts w:hint="eastAsia"/>
              </w:rPr>
              <w:t>畜禽粪污综合利用率</w:t>
            </w:r>
          </w:p>
          <w:p>
            <w:pPr>
              <w:pStyle w:val="54"/>
              <w:jc w:val="center"/>
            </w:pPr>
            <w:r>
              <w:rPr>
                <w:rFonts w:hint="eastAsia" w:cs="宋体"/>
              </w:rPr>
              <w:t>③</w:t>
            </w:r>
            <w:r>
              <w:rPr>
                <w:rFonts w:hint="eastAsia"/>
              </w:rPr>
              <w:t>农膜回收利用率</w:t>
            </w:r>
          </w:p>
        </w:tc>
        <w:tc>
          <w:tcPr>
            <w:tcW w:w="567" w:type="dxa"/>
            <w:vAlign w:val="center"/>
          </w:tcPr>
          <w:p>
            <w:pPr>
              <w:pStyle w:val="54"/>
              <w:jc w:val="center"/>
            </w:pPr>
          </w:p>
          <w:p>
            <w:pPr>
              <w:pStyle w:val="54"/>
              <w:jc w:val="center"/>
            </w:pPr>
            <w:r>
              <w:rPr>
                <w:rFonts w:hint="eastAsia"/>
              </w:rPr>
              <w:t>%</w:t>
            </w:r>
          </w:p>
          <w:p>
            <w:pPr>
              <w:pStyle w:val="54"/>
              <w:jc w:val="center"/>
            </w:pPr>
            <w:r>
              <w:rPr>
                <w:rFonts w:hint="eastAsia"/>
              </w:rPr>
              <w:t>%</w:t>
            </w:r>
          </w:p>
          <w:p>
            <w:pPr>
              <w:pStyle w:val="54"/>
              <w:jc w:val="center"/>
            </w:pPr>
            <w:r>
              <w:rPr>
                <w:rFonts w:hint="eastAsia"/>
              </w:rPr>
              <w:t>%</w:t>
            </w:r>
          </w:p>
        </w:tc>
        <w:tc>
          <w:tcPr>
            <w:tcW w:w="1701" w:type="dxa"/>
            <w:vAlign w:val="center"/>
          </w:tcPr>
          <w:p>
            <w:pPr>
              <w:pStyle w:val="54"/>
              <w:jc w:val="center"/>
            </w:pPr>
          </w:p>
          <w:p>
            <w:pPr>
              <w:pStyle w:val="54"/>
              <w:jc w:val="center"/>
            </w:pPr>
            <w:r>
              <w:rPr>
                <w:rFonts w:hint="eastAsia"/>
              </w:rPr>
              <w:t>≥95</w:t>
            </w:r>
          </w:p>
          <w:p>
            <w:pPr>
              <w:pStyle w:val="54"/>
              <w:jc w:val="center"/>
            </w:pPr>
            <w:r>
              <w:rPr>
                <w:rFonts w:hint="eastAsia"/>
              </w:rPr>
              <w:t>≥90</w:t>
            </w:r>
          </w:p>
          <w:p>
            <w:pPr>
              <w:pStyle w:val="54"/>
              <w:jc w:val="center"/>
            </w:pPr>
            <w:r>
              <w:rPr>
                <w:rFonts w:hint="eastAsia"/>
              </w:rPr>
              <w:t>≥90</w:t>
            </w:r>
          </w:p>
        </w:tc>
        <w:tc>
          <w:tcPr>
            <w:tcW w:w="851" w:type="dxa"/>
            <w:vAlign w:val="center"/>
          </w:tcPr>
          <w:p>
            <w:pPr>
              <w:pStyle w:val="54"/>
              <w:jc w:val="center"/>
            </w:pPr>
            <w:r>
              <w:rPr>
                <w:rFonts w:hint="eastAsia"/>
              </w:rPr>
              <w:t>参考性</w:t>
            </w:r>
          </w:p>
        </w:tc>
        <w:tc>
          <w:tcPr>
            <w:tcW w:w="2707" w:type="dxa"/>
            <w:vAlign w:val="center"/>
          </w:tcPr>
          <w:p>
            <w:pPr>
              <w:pStyle w:val="54"/>
              <w:jc w:val="center"/>
            </w:pPr>
            <w:r>
              <w:rPr>
                <w:rFonts w:hint="eastAsia"/>
              </w:rPr>
              <w:t>①95.3</w:t>
            </w:r>
          </w:p>
          <w:p>
            <w:pPr>
              <w:pStyle w:val="54"/>
              <w:jc w:val="center"/>
            </w:pPr>
            <w:r>
              <w:rPr>
                <w:rFonts w:hint="eastAsia"/>
              </w:rPr>
              <w:t>②99</w:t>
            </w:r>
          </w:p>
          <w:p>
            <w:pPr>
              <w:pStyle w:val="54"/>
              <w:jc w:val="center"/>
            </w:pPr>
            <w:r>
              <w:rPr>
                <w:rFonts w:hint="eastAsia"/>
              </w:rPr>
              <w:t>③91</w:t>
            </w:r>
          </w:p>
        </w:tc>
        <w:tc>
          <w:tcPr>
            <w:tcW w:w="0" w:type="auto"/>
            <w:vAlign w:val="center"/>
          </w:tcPr>
          <w:p>
            <w:pPr>
              <w:pStyle w:val="54"/>
              <w:jc w:val="center"/>
            </w:pPr>
            <w:r>
              <w:rPr>
                <w:rFonts w:hint="eastAsia"/>
              </w:rPr>
              <w:t>①持续提高</w:t>
            </w:r>
          </w:p>
          <w:p>
            <w:pPr>
              <w:pStyle w:val="54"/>
              <w:jc w:val="center"/>
            </w:pPr>
            <w:r>
              <w:rPr>
                <w:rFonts w:hint="eastAsia"/>
              </w:rPr>
              <w:t>②持续提高</w:t>
            </w:r>
          </w:p>
          <w:p>
            <w:pPr>
              <w:pStyle w:val="54"/>
              <w:jc w:val="center"/>
            </w:pPr>
            <w:r>
              <w:rPr>
                <w:rFonts w:hint="eastAsia"/>
              </w:rPr>
              <w:t>③9</w:t>
            </w:r>
            <w:r>
              <w:t>2</w:t>
            </w:r>
          </w:p>
        </w:tc>
        <w:tc>
          <w:tcPr>
            <w:tcW w:w="0" w:type="auto"/>
            <w:vAlign w:val="center"/>
          </w:tcPr>
          <w:p>
            <w:pPr>
              <w:pStyle w:val="54"/>
              <w:jc w:val="center"/>
            </w:pPr>
            <w:r>
              <w:rPr>
                <w:rFonts w:hint="eastAsia"/>
              </w:rPr>
              <w:t>①持续提高</w:t>
            </w:r>
          </w:p>
          <w:p>
            <w:pPr>
              <w:pStyle w:val="54"/>
              <w:jc w:val="center"/>
            </w:pPr>
            <w:r>
              <w:rPr>
                <w:rFonts w:hint="eastAsia"/>
              </w:rPr>
              <w:t>②持续提高</w:t>
            </w:r>
          </w:p>
          <w:p>
            <w:pPr>
              <w:pStyle w:val="54"/>
              <w:jc w:val="center"/>
            </w:pPr>
            <w:r>
              <w:rPr>
                <w:rFonts w:hint="eastAsia"/>
              </w:rPr>
              <w:t>③</w:t>
            </w:r>
            <w: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9" w:type="dxa"/>
            <w:vMerge w:val="continue"/>
            <w:vAlign w:val="center"/>
          </w:tcPr>
          <w:p>
            <w:pPr>
              <w:pStyle w:val="54"/>
              <w:jc w:val="center"/>
            </w:pPr>
          </w:p>
        </w:tc>
        <w:tc>
          <w:tcPr>
            <w:tcW w:w="709" w:type="dxa"/>
            <w:vMerge w:val="continue"/>
            <w:vAlign w:val="center"/>
          </w:tcPr>
          <w:p>
            <w:pPr>
              <w:pStyle w:val="54"/>
              <w:jc w:val="center"/>
            </w:pPr>
          </w:p>
        </w:tc>
        <w:tc>
          <w:tcPr>
            <w:tcW w:w="425" w:type="dxa"/>
            <w:vAlign w:val="center"/>
          </w:tcPr>
          <w:p>
            <w:pPr>
              <w:pStyle w:val="54"/>
              <w:jc w:val="center"/>
            </w:pPr>
            <w:r>
              <w:rPr>
                <w:rFonts w:hint="eastAsia"/>
              </w:rPr>
              <w:t>33</w:t>
            </w:r>
          </w:p>
        </w:tc>
        <w:tc>
          <w:tcPr>
            <w:tcW w:w="2693" w:type="dxa"/>
            <w:vAlign w:val="center"/>
          </w:tcPr>
          <w:p>
            <w:pPr>
              <w:pStyle w:val="54"/>
              <w:jc w:val="center"/>
            </w:pPr>
            <w:r>
              <w:rPr>
                <w:rFonts w:hint="eastAsia"/>
              </w:rPr>
              <w:t>农药化肥：</w:t>
            </w:r>
          </w:p>
          <w:p>
            <w:pPr>
              <w:pStyle w:val="54"/>
              <w:jc w:val="center"/>
            </w:pPr>
            <w:r>
              <w:rPr>
                <w:rFonts w:hint="eastAsia" w:cs="宋体"/>
              </w:rPr>
              <w:t>①</w:t>
            </w:r>
            <w:r>
              <w:rPr>
                <w:rFonts w:hint="eastAsia"/>
              </w:rPr>
              <w:t>化肥施用强度</w:t>
            </w:r>
          </w:p>
          <w:p>
            <w:pPr>
              <w:pStyle w:val="54"/>
              <w:jc w:val="center"/>
            </w:pPr>
            <w:r>
              <w:rPr>
                <w:rFonts w:hint="eastAsia" w:cs="宋体"/>
              </w:rPr>
              <w:t>②</w:t>
            </w:r>
            <w:r>
              <w:rPr>
                <w:rFonts w:hint="eastAsia"/>
              </w:rPr>
              <w:t>农药施用强度(折百量)</w:t>
            </w:r>
          </w:p>
        </w:tc>
        <w:tc>
          <w:tcPr>
            <w:tcW w:w="567" w:type="dxa"/>
            <w:vAlign w:val="center"/>
          </w:tcPr>
          <w:p>
            <w:pPr>
              <w:pStyle w:val="54"/>
              <w:jc w:val="center"/>
            </w:pPr>
          </w:p>
          <w:p>
            <w:pPr>
              <w:pStyle w:val="54"/>
              <w:jc w:val="center"/>
            </w:pPr>
            <w:r>
              <w:rPr>
                <w:rFonts w:hint="eastAsia"/>
              </w:rPr>
              <w:t>千克/公顷</w:t>
            </w:r>
          </w:p>
          <w:p>
            <w:pPr>
              <w:pStyle w:val="54"/>
              <w:jc w:val="center"/>
            </w:pPr>
          </w:p>
          <w:p>
            <w:pPr>
              <w:pStyle w:val="54"/>
              <w:jc w:val="center"/>
            </w:pPr>
            <w:r>
              <w:rPr>
                <w:rFonts w:hint="eastAsia"/>
              </w:rPr>
              <w:t>千克/亩</w:t>
            </w:r>
          </w:p>
        </w:tc>
        <w:tc>
          <w:tcPr>
            <w:tcW w:w="1701" w:type="dxa"/>
            <w:vAlign w:val="center"/>
          </w:tcPr>
          <w:p>
            <w:pPr>
              <w:pStyle w:val="54"/>
              <w:jc w:val="center"/>
            </w:pPr>
          </w:p>
          <w:p>
            <w:pPr>
              <w:pStyle w:val="54"/>
              <w:jc w:val="center"/>
            </w:pPr>
            <w:r>
              <w:rPr>
                <w:rFonts w:hint="eastAsia"/>
              </w:rPr>
              <w:t>≤410，或逐年下降且下降幅度高于全省平均</w:t>
            </w:r>
          </w:p>
          <w:p>
            <w:pPr>
              <w:pStyle w:val="54"/>
              <w:jc w:val="center"/>
              <w:rPr>
                <w:spacing w:val="-10"/>
              </w:rPr>
            </w:pPr>
            <w:r>
              <w:rPr>
                <w:rFonts w:hint="eastAsia"/>
              </w:rPr>
              <w:t>≤0.17</w:t>
            </w:r>
          </w:p>
        </w:tc>
        <w:tc>
          <w:tcPr>
            <w:tcW w:w="851" w:type="dxa"/>
            <w:vAlign w:val="center"/>
          </w:tcPr>
          <w:p>
            <w:pPr>
              <w:pStyle w:val="54"/>
              <w:jc w:val="center"/>
            </w:pPr>
            <w:r>
              <w:rPr>
                <w:rFonts w:hint="eastAsia"/>
              </w:rPr>
              <w:t>参考性</w:t>
            </w:r>
          </w:p>
        </w:tc>
        <w:tc>
          <w:tcPr>
            <w:tcW w:w="2707" w:type="dxa"/>
            <w:vAlign w:val="center"/>
          </w:tcPr>
          <w:p>
            <w:pPr>
              <w:pStyle w:val="54"/>
              <w:numPr>
                <w:ilvl w:val="0"/>
                <w:numId w:val="9"/>
              </w:numPr>
              <w:jc w:val="center"/>
            </w:pPr>
            <w:r>
              <w:t>298.95</w:t>
            </w:r>
          </w:p>
          <w:p>
            <w:pPr>
              <w:pStyle w:val="54"/>
              <w:numPr>
                <w:ilvl w:val="0"/>
                <w:numId w:val="8"/>
              </w:numPr>
              <w:jc w:val="center"/>
            </w:pPr>
            <w:r>
              <w:rPr>
                <w:rFonts w:hint="eastAsia"/>
              </w:rPr>
              <w:t>0.</w:t>
            </w:r>
            <w:r>
              <w:t>1573</w:t>
            </w:r>
          </w:p>
        </w:tc>
        <w:tc>
          <w:tcPr>
            <w:tcW w:w="0" w:type="auto"/>
            <w:vAlign w:val="center"/>
          </w:tcPr>
          <w:p>
            <w:pPr>
              <w:pStyle w:val="54"/>
              <w:jc w:val="center"/>
            </w:pPr>
            <w:r>
              <w:rPr>
                <w:rFonts w:hint="eastAsia"/>
              </w:rPr>
              <w:t>持续下降</w:t>
            </w:r>
          </w:p>
        </w:tc>
        <w:tc>
          <w:tcPr>
            <w:tcW w:w="0" w:type="auto"/>
            <w:vAlign w:val="center"/>
          </w:tcPr>
          <w:p>
            <w:pPr>
              <w:pStyle w:val="54"/>
              <w:jc w:val="center"/>
            </w:pPr>
            <w:r>
              <w:t>持续下降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9" w:type="dxa"/>
            <w:vMerge w:val="continue"/>
            <w:vAlign w:val="center"/>
          </w:tcPr>
          <w:p>
            <w:pPr>
              <w:pStyle w:val="54"/>
              <w:jc w:val="center"/>
            </w:pPr>
          </w:p>
        </w:tc>
        <w:tc>
          <w:tcPr>
            <w:tcW w:w="709" w:type="dxa"/>
            <w:vMerge w:val="continue"/>
            <w:vAlign w:val="center"/>
          </w:tcPr>
          <w:p>
            <w:pPr>
              <w:pStyle w:val="54"/>
              <w:jc w:val="center"/>
            </w:pPr>
          </w:p>
        </w:tc>
        <w:tc>
          <w:tcPr>
            <w:tcW w:w="425" w:type="dxa"/>
            <w:vAlign w:val="center"/>
          </w:tcPr>
          <w:p>
            <w:pPr>
              <w:pStyle w:val="54"/>
              <w:jc w:val="center"/>
            </w:pPr>
            <w:r>
              <w:rPr>
                <w:rFonts w:hint="eastAsia"/>
              </w:rPr>
              <w:t>34</w:t>
            </w:r>
          </w:p>
        </w:tc>
        <w:tc>
          <w:tcPr>
            <w:tcW w:w="2693" w:type="dxa"/>
            <w:vAlign w:val="center"/>
          </w:tcPr>
          <w:p>
            <w:pPr>
              <w:pStyle w:val="54"/>
              <w:jc w:val="center"/>
            </w:pPr>
            <w:r>
              <w:rPr>
                <w:rFonts w:hint="eastAsia"/>
              </w:rPr>
              <w:t>一般工业固体废物</w:t>
            </w:r>
          </w:p>
          <w:p>
            <w:pPr>
              <w:pStyle w:val="54"/>
              <w:jc w:val="center"/>
            </w:pPr>
            <w:r>
              <w:rPr>
                <w:rFonts w:hint="eastAsia"/>
              </w:rPr>
              <w:t>综合利用率</w:t>
            </w:r>
          </w:p>
        </w:tc>
        <w:tc>
          <w:tcPr>
            <w:tcW w:w="567" w:type="dxa"/>
            <w:vAlign w:val="center"/>
          </w:tcPr>
          <w:p>
            <w:pPr>
              <w:pStyle w:val="54"/>
              <w:jc w:val="center"/>
            </w:pPr>
            <w:r>
              <w:rPr>
                <w:rFonts w:hint="eastAsia"/>
              </w:rPr>
              <w:t>%</w:t>
            </w:r>
          </w:p>
        </w:tc>
        <w:tc>
          <w:tcPr>
            <w:tcW w:w="1701" w:type="dxa"/>
            <w:vAlign w:val="center"/>
          </w:tcPr>
          <w:p>
            <w:pPr>
              <w:pStyle w:val="54"/>
              <w:jc w:val="center"/>
            </w:pPr>
            <w:r>
              <w:rPr>
                <w:rFonts w:hint="eastAsia"/>
              </w:rPr>
              <w:t>≥90</w:t>
            </w:r>
          </w:p>
        </w:tc>
        <w:tc>
          <w:tcPr>
            <w:tcW w:w="851" w:type="dxa"/>
            <w:vAlign w:val="center"/>
          </w:tcPr>
          <w:p>
            <w:pPr>
              <w:pStyle w:val="54"/>
              <w:jc w:val="center"/>
            </w:pPr>
            <w:r>
              <w:rPr>
                <w:rFonts w:hint="eastAsia"/>
              </w:rPr>
              <w:t>约束性</w:t>
            </w:r>
          </w:p>
        </w:tc>
        <w:tc>
          <w:tcPr>
            <w:tcW w:w="2707" w:type="dxa"/>
            <w:vAlign w:val="center"/>
          </w:tcPr>
          <w:p>
            <w:pPr>
              <w:pStyle w:val="54"/>
              <w:jc w:val="center"/>
            </w:pPr>
            <w:r>
              <w:rPr>
                <w:rFonts w:hint="eastAsia"/>
              </w:rPr>
              <w:t>99.</w:t>
            </w:r>
            <w:r>
              <w:t>4</w:t>
            </w:r>
          </w:p>
        </w:tc>
        <w:tc>
          <w:tcPr>
            <w:tcW w:w="0" w:type="auto"/>
            <w:vAlign w:val="center"/>
          </w:tcPr>
          <w:p>
            <w:pPr>
              <w:pStyle w:val="54"/>
              <w:jc w:val="center"/>
            </w:pPr>
            <w:r>
              <w:rPr>
                <w:rFonts w:hint="eastAsia"/>
              </w:rPr>
              <w:t>持续提高</w:t>
            </w:r>
          </w:p>
        </w:tc>
        <w:tc>
          <w:tcPr>
            <w:tcW w:w="0" w:type="auto"/>
            <w:vAlign w:val="center"/>
          </w:tcPr>
          <w:p>
            <w:pPr>
              <w:pStyle w:val="54"/>
              <w:jc w:val="center"/>
            </w:pPr>
            <w:r>
              <w:t>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9" w:type="dxa"/>
            <w:vMerge w:val="restart"/>
            <w:vAlign w:val="center"/>
          </w:tcPr>
          <w:p>
            <w:pPr>
              <w:pStyle w:val="54"/>
              <w:jc w:val="center"/>
            </w:pPr>
            <w:r>
              <w:rPr>
                <w:rFonts w:hint="eastAsia"/>
              </w:rPr>
              <w:t>生态生活</w:t>
            </w:r>
          </w:p>
        </w:tc>
        <w:tc>
          <w:tcPr>
            <w:tcW w:w="709" w:type="dxa"/>
            <w:vMerge w:val="restart"/>
            <w:vAlign w:val="center"/>
          </w:tcPr>
          <w:p>
            <w:pPr>
              <w:pStyle w:val="54"/>
              <w:jc w:val="center"/>
            </w:pPr>
            <w:r>
              <w:rPr>
                <w:rFonts w:hint="eastAsia"/>
              </w:rPr>
              <w:t>（八）人居环境改善</w:t>
            </w:r>
          </w:p>
        </w:tc>
        <w:tc>
          <w:tcPr>
            <w:tcW w:w="425" w:type="dxa"/>
            <w:vAlign w:val="center"/>
          </w:tcPr>
          <w:p>
            <w:pPr>
              <w:pStyle w:val="54"/>
              <w:jc w:val="center"/>
            </w:pPr>
            <w:r>
              <w:rPr>
                <w:rFonts w:hint="eastAsia"/>
              </w:rPr>
              <w:t>35</w:t>
            </w:r>
          </w:p>
        </w:tc>
        <w:tc>
          <w:tcPr>
            <w:tcW w:w="2693" w:type="dxa"/>
            <w:vAlign w:val="center"/>
          </w:tcPr>
          <w:p>
            <w:pPr>
              <w:pStyle w:val="54"/>
              <w:jc w:val="center"/>
            </w:pPr>
            <w:r>
              <w:rPr>
                <w:rFonts w:hint="eastAsia"/>
              </w:rPr>
              <w:t>集中式饮用水水源地</w:t>
            </w:r>
          </w:p>
          <w:p>
            <w:pPr>
              <w:pStyle w:val="54"/>
              <w:jc w:val="center"/>
            </w:pPr>
            <w:r>
              <w:rPr>
                <w:rFonts w:hint="eastAsia"/>
              </w:rPr>
              <w:t>水质优良比例</w:t>
            </w:r>
          </w:p>
        </w:tc>
        <w:tc>
          <w:tcPr>
            <w:tcW w:w="567" w:type="dxa"/>
            <w:vAlign w:val="center"/>
          </w:tcPr>
          <w:p>
            <w:pPr>
              <w:pStyle w:val="54"/>
              <w:jc w:val="center"/>
            </w:pPr>
            <w:r>
              <w:rPr>
                <w:rFonts w:hint="eastAsia"/>
              </w:rPr>
              <w:t>%</w:t>
            </w:r>
          </w:p>
        </w:tc>
        <w:tc>
          <w:tcPr>
            <w:tcW w:w="1701" w:type="dxa"/>
            <w:vAlign w:val="center"/>
          </w:tcPr>
          <w:p>
            <w:pPr>
              <w:pStyle w:val="54"/>
              <w:jc w:val="center"/>
            </w:pPr>
            <w:r>
              <w:rPr>
                <w:rFonts w:hint="eastAsia"/>
              </w:rPr>
              <w:t>100</w:t>
            </w:r>
          </w:p>
        </w:tc>
        <w:tc>
          <w:tcPr>
            <w:tcW w:w="851" w:type="dxa"/>
            <w:vAlign w:val="center"/>
          </w:tcPr>
          <w:p>
            <w:pPr>
              <w:pStyle w:val="54"/>
              <w:jc w:val="center"/>
            </w:pPr>
            <w:r>
              <w:rPr>
                <w:rFonts w:hint="eastAsia"/>
              </w:rPr>
              <w:t>约束性</w:t>
            </w:r>
          </w:p>
        </w:tc>
        <w:tc>
          <w:tcPr>
            <w:tcW w:w="2707" w:type="dxa"/>
            <w:vAlign w:val="center"/>
          </w:tcPr>
          <w:p>
            <w:pPr>
              <w:pStyle w:val="54"/>
              <w:jc w:val="center"/>
            </w:pPr>
            <w:r>
              <w:rPr>
                <w:rFonts w:hint="eastAsia"/>
              </w:rPr>
              <w:t>100</w:t>
            </w:r>
          </w:p>
        </w:tc>
        <w:tc>
          <w:tcPr>
            <w:tcW w:w="0" w:type="auto"/>
            <w:vAlign w:val="center"/>
          </w:tcPr>
          <w:p>
            <w:pPr>
              <w:pStyle w:val="54"/>
              <w:jc w:val="center"/>
              <w:rPr>
                <w:bCs/>
                <w:iCs/>
                <w:color w:val="000000"/>
                <w:spacing w:val="-12"/>
              </w:rPr>
            </w:pPr>
            <w:r>
              <w:rPr>
                <w:rFonts w:hint="eastAsia"/>
              </w:rPr>
              <w:t>100</w:t>
            </w:r>
          </w:p>
        </w:tc>
        <w:tc>
          <w:tcPr>
            <w:tcW w:w="0" w:type="auto"/>
            <w:vAlign w:val="center"/>
          </w:tcPr>
          <w:p>
            <w:pPr>
              <w:pStyle w:val="54"/>
              <w:jc w:val="center"/>
              <w:rPr>
                <w:bCs/>
                <w:iCs/>
                <w:color w:val="000000"/>
                <w:spacing w:val="-12"/>
              </w:rPr>
            </w:pPr>
            <w:r>
              <w:rPr>
                <w:rFonts w:hint="eastAsi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9" w:type="dxa"/>
            <w:vMerge w:val="continue"/>
            <w:vAlign w:val="center"/>
          </w:tcPr>
          <w:p>
            <w:pPr>
              <w:pStyle w:val="54"/>
              <w:jc w:val="center"/>
            </w:pPr>
          </w:p>
        </w:tc>
        <w:tc>
          <w:tcPr>
            <w:tcW w:w="709" w:type="dxa"/>
            <w:vMerge w:val="continue"/>
            <w:vAlign w:val="center"/>
          </w:tcPr>
          <w:p>
            <w:pPr>
              <w:pStyle w:val="54"/>
              <w:jc w:val="center"/>
            </w:pPr>
          </w:p>
        </w:tc>
        <w:tc>
          <w:tcPr>
            <w:tcW w:w="425" w:type="dxa"/>
            <w:vAlign w:val="center"/>
          </w:tcPr>
          <w:p>
            <w:pPr>
              <w:pStyle w:val="54"/>
              <w:jc w:val="center"/>
            </w:pPr>
            <w:r>
              <w:rPr>
                <w:rFonts w:hint="eastAsia"/>
              </w:rPr>
              <w:t>36</w:t>
            </w:r>
          </w:p>
        </w:tc>
        <w:tc>
          <w:tcPr>
            <w:tcW w:w="2693" w:type="dxa"/>
            <w:vAlign w:val="center"/>
          </w:tcPr>
          <w:p>
            <w:pPr>
              <w:pStyle w:val="54"/>
              <w:jc w:val="center"/>
            </w:pPr>
            <w:r>
              <w:rPr>
                <w:rFonts w:hint="eastAsia"/>
              </w:rPr>
              <w:t>农村饮用水达标人口覆盖率</w:t>
            </w:r>
          </w:p>
        </w:tc>
        <w:tc>
          <w:tcPr>
            <w:tcW w:w="567" w:type="dxa"/>
            <w:vAlign w:val="center"/>
          </w:tcPr>
          <w:p>
            <w:pPr>
              <w:pStyle w:val="54"/>
              <w:jc w:val="center"/>
            </w:pPr>
            <w:r>
              <w:rPr>
                <w:rFonts w:hint="eastAsia"/>
              </w:rPr>
              <w:t>%</w:t>
            </w:r>
          </w:p>
        </w:tc>
        <w:tc>
          <w:tcPr>
            <w:tcW w:w="1701" w:type="dxa"/>
            <w:vAlign w:val="center"/>
          </w:tcPr>
          <w:p>
            <w:pPr>
              <w:pStyle w:val="54"/>
              <w:jc w:val="center"/>
            </w:pPr>
            <w:r>
              <w:rPr>
                <w:rFonts w:hint="eastAsia"/>
              </w:rPr>
              <w:t>≥95</w:t>
            </w:r>
          </w:p>
        </w:tc>
        <w:tc>
          <w:tcPr>
            <w:tcW w:w="851" w:type="dxa"/>
            <w:vAlign w:val="center"/>
          </w:tcPr>
          <w:p>
            <w:pPr>
              <w:pStyle w:val="54"/>
              <w:jc w:val="center"/>
            </w:pPr>
            <w:r>
              <w:rPr>
                <w:rFonts w:hint="eastAsia"/>
              </w:rPr>
              <w:t>约束性</w:t>
            </w:r>
          </w:p>
        </w:tc>
        <w:tc>
          <w:tcPr>
            <w:tcW w:w="2707" w:type="dxa"/>
            <w:vAlign w:val="center"/>
          </w:tcPr>
          <w:p>
            <w:pPr>
              <w:pStyle w:val="54"/>
              <w:jc w:val="center"/>
            </w:pPr>
            <w:r>
              <w:t>94</w:t>
            </w:r>
          </w:p>
        </w:tc>
        <w:tc>
          <w:tcPr>
            <w:tcW w:w="0" w:type="auto"/>
            <w:vAlign w:val="center"/>
          </w:tcPr>
          <w:p>
            <w:pPr>
              <w:pStyle w:val="54"/>
              <w:jc w:val="center"/>
              <w:rPr>
                <w:bCs/>
                <w:iCs/>
                <w:color w:val="000000"/>
                <w:spacing w:val="-12"/>
              </w:rPr>
            </w:pPr>
            <w:r>
              <w:rPr>
                <w:rFonts w:hint="eastAsia"/>
              </w:rPr>
              <w:t>100</w:t>
            </w:r>
          </w:p>
        </w:tc>
        <w:tc>
          <w:tcPr>
            <w:tcW w:w="0" w:type="auto"/>
            <w:vAlign w:val="center"/>
          </w:tcPr>
          <w:p>
            <w:pPr>
              <w:pStyle w:val="54"/>
              <w:jc w:val="center"/>
              <w:rPr>
                <w:color w:val="000000"/>
                <w:spacing w:val="-12"/>
              </w:rPr>
            </w:pPr>
            <w:r>
              <w:rPr>
                <w:rFonts w:hint="eastAsi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9" w:type="dxa"/>
            <w:vMerge w:val="continue"/>
            <w:vAlign w:val="center"/>
          </w:tcPr>
          <w:p>
            <w:pPr>
              <w:pStyle w:val="54"/>
              <w:jc w:val="center"/>
            </w:pPr>
          </w:p>
        </w:tc>
        <w:tc>
          <w:tcPr>
            <w:tcW w:w="709" w:type="dxa"/>
            <w:vMerge w:val="continue"/>
            <w:vAlign w:val="center"/>
          </w:tcPr>
          <w:p>
            <w:pPr>
              <w:pStyle w:val="54"/>
              <w:jc w:val="center"/>
            </w:pPr>
          </w:p>
        </w:tc>
        <w:tc>
          <w:tcPr>
            <w:tcW w:w="425" w:type="dxa"/>
            <w:vAlign w:val="center"/>
          </w:tcPr>
          <w:p>
            <w:pPr>
              <w:pStyle w:val="54"/>
              <w:jc w:val="center"/>
            </w:pPr>
            <w:r>
              <w:rPr>
                <w:rFonts w:hint="eastAsia"/>
              </w:rPr>
              <w:t>37</w:t>
            </w:r>
          </w:p>
        </w:tc>
        <w:tc>
          <w:tcPr>
            <w:tcW w:w="2693" w:type="dxa"/>
            <w:vAlign w:val="center"/>
          </w:tcPr>
          <w:p>
            <w:pPr>
              <w:pStyle w:val="54"/>
              <w:jc w:val="center"/>
            </w:pPr>
            <w:r>
              <w:rPr>
                <w:rFonts w:hint="eastAsia"/>
              </w:rPr>
              <w:t>城镇污水处理率</w:t>
            </w:r>
          </w:p>
        </w:tc>
        <w:tc>
          <w:tcPr>
            <w:tcW w:w="567" w:type="dxa"/>
            <w:vAlign w:val="center"/>
          </w:tcPr>
          <w:p>
            <w:pPr>
              <w:pStyle w:val="54"/>
              <w:jc w:val="center"/>
            </w:pPr>
            <w:r>
              <w:rPr>
                <w:rFonts w:hint="eastAsia"/>
              </w:rPr>
              <w:t>%</w:t>
            </w:r>
          </w:p>
        </w:tc>
        <w:tc>
          <w:tcPr>
            <w:tcW w:w="1701" w:type="dxa"/>
            <w:vAlign w:val="center"/>
          </w:tcPr>
          <w:p>
            <w:pPr>
              <w:pStyle w:val="54"/>
              <w:jc w:val="center"/>
            </w:pPr>
            <w:r>
              <w:rPr>
                <w:rFonts w:hint="eastAsia"/>
              </w:rPr>
              <w:t>市≥95</w:t>
            </w:r>
          </w:p>
          <w:p>
            <w:pPr>
              <w:pStyle w:val="54"/>
              <w:jc w:val="center"/>
            </w:pPr>
            <w:r>
              <w:rPr>
                <w:rFonts w:hint="eastAsia"/>
              </w:rPr>
              <w:t>县≥85</w:t>
            </w:r>
          </w:p>
        </w:tc>
        <w:tc>
          <w:tcPr>
            <w:tcW w:w="851" w:type="dxa"/>
            <w:vAlign w:val="center"/>
          </w:tcPr>
          <w:p>
            <w:pPr>
              <w:pStyle w:val="54"/>
              <w:jc w:val="center"/>
            </w:pPr>
            <w:r>
              <w:rPr>
                <w:rFonts w:hint="eastAsia"/>
              </w:rPr>
              <w:t>约束性</w:t>
            </w:r>
          </w:p>
        </w:tc>
        <w:tc>
          <w:tcPr>
            <w:tcW w:w="2707" w:type="dxa"/>
            <w:vAlign w:val="center"/>
          </w:tcPr>
          <w:p>
            <w:pPr>
              <w:pStyle w:val="54"/>
              <w:jc w:val="center"/>
            </w:pPr>
            <w:r>
              <w:rPr>
                <w:rFonts w:hint="eastAsia"/>
              </w:rPr>
              <w:t>96.29</w:t>
            </w:r>
          </w:p>
        </w:tc>
        <w:tc>
          <w:tcPr>
            <w:tcW w:w="0" w:type="auto"/>
            <w:vAlign w:val="center"/>
          </w:tcPr>
          <w:p>
            <w:pPr>
              <w:pStyle w:val="54"/>
              <w:jc w:val="center"/>
            </w:pPr>
            <w:r>
              <w:rPr>
                <w:rFonts w:hint="eastAsia"/>
              </w:rPr>
              <w:t>9</w:t>
            </w:r>
            <w:r>
              <w:t>7</w:t>
            </w:r>
          </w:p>
        </w:tc>
        <w:tc>
          <w:tcPr>
            <w:tcW w:w="0" w:type="auto"/>
            <w:vAlign w:val="center"/>
          </w:tcPr>
          <w:p>
            <w:pPr>
              <w:pStyle w:val="54"/>
              <w:jc w:val="center"/>
            </w:pPr>
            <w:r>
              <w:rPr>
                <w:rFonts w:hint="eastAsia"/>
              </w:rPr>
              <w:t>持续提高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9" w:type="dxa"/>
            <w:vMerge w:val="continue"/>
            <w:vAlign w:val="center"/>
          </w:tcPr>
          <w:p>
            <w:pPr>
              <w:pStyle w:val="54"/>
              <w:jc w:val="center"/>
            </w:pPr>
          </w:p>
        </w:tc>
        <w:tc>
          <w:tcPr>
            <w:tcW w:w="709" w:type="dxa"/>
            <w:vMerge w:val="continue"/>
            <w:vAlign w:val="center"/>
          </w:tcPr>
          <w:p>
            <w:pPr>
              <w:pStyle w:val="54"/>
              <w:jc w:val="center"/>
            </w:pPr>
          </w:p>
        </w:tc>
        <w:tc>
          <w:tcPr>
            <w:tcW w:w="425" w:type="dxa"/>
            <w:vAlign w:val="center"/>
          </w:tcPr>
          <w:p>
            <w:pPr>
              <w:pStyle w:val="54"/>
              <w:jc w:val="center"/>
            </w:pPr>
            <w:r>
              <w:rPr>
                <w:rFonts w:hint="eastAsia"/>
              </w:rPr>
              <w:t>38</w:t>
            </w:r>
          </w:p>
        </w:tc>
        <w:tc>
          <w:tcPr>
            <w:tcW w:w="2693" w:type="dxa"/>
            <w:vAlign w:val="center"/>
          </w:tcPr>
          <w:p>
            <w:pPr>
              <w:pStyle w:val="54"/>
              <w:jc w:val="center"/>
            </w:pPr>
            <w:r>
              <w:rPr>
                <w:rFonts w:hint="eastAsia"/>
              </w:rPr>
              <w:t>农村生活污水治理设施</w:t>
            </w:r>
          </w:p>
          <w:p>
            <w:pPr>
              <w:pStyle w:val="54"/>
              <w:jc w:val="center"/>
            </w:pPr>
            <w:r>
              <w:rPr>
                <w:rFonts w:hint="eastAsia"/>
              </w:rPr>
              <w:t>标准化运维比例</w:t>
            </w:r>
          </w:p>
        </w:tc>
        <w:tc>
          <w:tcPr>
            <w:tcW w:w="567" w:type="dxa"/>
            <w:vAlign w:val="center"/>
          </w:tcPr>
          <w:p>
            <w:pPr>
              <w:pStyle w:val="54"/>
              <w:jc w:val="center"/>
            </w:pPr>
            <w:r>
              <w:rPr>
                <w:rFonts w:hint="eastAsia"/>
              </w:rPr>
              <w:t>%</w:t>
            </w:r>
          </w:p>
        </w:tc>
        <w:tc>
          <w:tcPr>
            <w:tcW w:w="1701" w:type="dxa"/>
            <w:vAlign w:val="center"/>
          </w:tcPr>
          <w:p>
            <w:pPr>
              <w:pStyle w:val="54"/>
              <w:jc w:val="center"/>
            </w:pPr>
            <w:r>
              <w:rPr>
                <w:rFonts w:hint="eastAsia"/>
              </w:rPr>
              <w:t>100</w:t>
            </w:r>
          </w:p>
        </w:tc>
        <w:tc>
          <w:tcPr>
            <w:tcW w:w="851" w:type="dxa"/>
            <w:vAlign w:val="center"/>
          </w:tcPr>
          <w:p>
            <w:pPr>
              <w:pStyle w:val="54"/>
              <w:jc w:val="center"/>
            </w:pPr>
            <w:r>
              <w:rPr>
                <w:rFonts w:hint="eastAsia"/>
              </w:rPr>
              <w:t>约束性</w:t>
            </w:r>
          </w:p>
        </w:tc>
        <w:tc>
          <w:tcPr>
            <w:tcW w:w="2707" w:type="dxa"/>
            <w:vAlign w:val="center"/>
          </w:tcPr>
          <w:p>
            <w:pPr>
              <w:pStyle w:val="54"/>
              <w:jc w:val="center"/>
            </w:pPr>
            <w:r>
              <w:rPr>
                <w:rFonts w:hint="eastAsia"/>
              </w:rPr>
              <w:t>100</w:t>
            </w:r>
          </w:p>
        </w:tc>
        <w:tc>
          <w:tcPr>
            <w:tcW w:w="0" w:type="auto"/>
            <w:vAlign w:val="center"/>
          </w:tcPr>
          <w:p>
            <w:pPr>
              <w:pStyle w:val="54"/>
              <w:jc w:val="center"/>
              <w:rPr>
                <w:color w:val="000000"/>
                <w:spacing w:val="-12"/>
              </w:rPr>
            </w:pPr>
            <w:r>
              <w:rPr>
                <w:rFonts w:hint="eastAsia"/>
              </w:rPr>
              <w:t>100</w:t>
            </w:r>
          </w:p>
        </w:tc>
        <w:tc>
          <w:tcPr>
            <w:tcW w:w="0" w:type="auto"/>
            <w:vAlign w:val="center"/>
          </w:tcPr>
          <w:p>
            <w:pPr>
              <w:pStyle w:val="54"/>
              <w:jc w:val="center"/>
              <w:rPr>
                <w:color w:val="000000"/>
                <w:spacing w:val="-12"/>
              </w:rPr>
            </w:pPr>
            <w:r>
              <w:rPr>
                <w:rFonts w:hint="eastAsi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9" w:type="dxa"/>
            <w:vMerge w:val="continue"/>
            <w:vAlign w:val="center"/>
          </w:tcPr>
          <w:p>
            <w:pPr>
              <w:pStyle w:val="54"/>
              <w:jc w:val="center"/>
            </w:pPr>
          </w:p>
        </w:tc>
        <w:tc>
          <w:tcPr>
            <w:tcW w:w="709" w:type="dxa"/>
            <w:vMerge w:val="continue"/>
            <w:vAlign w:val="center"/>
          </w:tcPr>
          <w:p>
            <w:pPr>
              <w:pStyle w:val="54"/>
              <w:jc w:val="center"/>
            </w:pPr>
          </w:p>
        </w:tc>
        <w:tc>
          <w:tcPr>
            <w:tcW w:w="425" w:type="dxa"/>
            <w:vAlign w:val="center"/>
          </w:tcPr>
          <w:p>
            <w:pPr>
              <w:pStyle w:val="54"/>
              <w:jc w:val="center"/>
            </w:pPr>
            <w:r>
              <w:rPr>
                <w:rFonts w:hint="eastAsia"/>
              </w:rPr>
              <w:t>39</w:t>
            </w:r>
          </w:p>
        </w:tc>
        <w:tc>
          <w:tcPr>
            <w:tcW w:w="2693" w:type="dxa"/>
            <w:vAlign w:val="center"/>
          </w:tcPr>
          <w:p>
            <w:pPr>
              <w:pStyle w:val="54"/>
              <w:jc w:val="center"/>
            </w:pPr>
            <w:r>
              <w:rPr>
                <w:rFonts w:hint="eastAsia"/>
              </w:rPr>
              <w:t>城镇生活垃圾无害化处理率</w:t>
            </w:r>
          </w:p>
        </w:tc>
        <w:tc>
          <w:tcPr>
            <w:tcW w:w="567" w:type="dxa"/>
            <w:vAlign w:val="center"/>
          </w:tcPr>
          <w:p>
            <w:pPr>
              <w:pStyle w:val="54"/>
              <w:jc w:val="center"/>
            </w:pPr>
            <w:r>
              <w:rPr>
                <w:rFonts w:hint="eastAsia"/>
              </w:rPr>
              <w:t>%</w:t>
            </w:r>
          </w:p>
        </w:tc>
        <w:tc>
          <w:tcPr>
            <w:tcW w:w="1701" w:type="dxa"/>
            <w:vAlign w:val="center"/>
          </w:tcPr>
          <w:p>
            <w:pPr>
              <w:pStyle w:val="54"/>
              <w:jc w:val="center"/>
            </w:pPr>
            <w:r>
              <w:rPr>
                <w:rFonts w:hint="eastAsia"/>
              </w:rPr>
              <w:t>≥96</w:t>
            </w:r>
          </w:p>
        </w:tc>
        <w:tc>
          <w:tcPr>
            <w:tcW w:w="851" w:type="dxa"/>
            <w:vAlign w:val="center"/>
          </w:tcPr>
          <w:p>
            <w:pPr>
              <w:pStyle w:val="54"/>
              <w:jc w:val="center"/>
            </w:pPr>
            <w:r>
              <w:rPr>
                <w:rFonts w:hint="eastAsia"/>
              </w:rPr>
              <w:t>约束性</w:t>
            </w:r>
          </w:p>
        </w:tc>
        <w:tc>
          <w:tcPr>
            <w:tcW w:w="2707" w:type="dxa"/>
            <w:vAlign w:val="center"/>
          </w:tcPr>
          <w:p>
            <w:pPr>
              <w:pStyle w:val="54"/>
              <w:jc w:val="center"/>
            </w:pPr>
            <w:r>
              <w:rPr>
                <w:rFonts w:hint="eastAsia"/>
              </w:rPr>
              <w:t>100</w:t>
            </w:r>
          </w:p>
        </w:tc>
        <w:tc>
          <w:tcPr>
            <w:tcW w:w="0" w:type="auto"/>
            <w:vAlign w:val="center"/>
          </w:tcPr>
          <w:p>
            <w:pPr>
              <w:pStyle w:val="54"/>
              <w:jc w:val="center"/>
              <w:rPr>
                <w:color w:val="000000"/>
                <w:spacing w:val="-12"/>
              </w:rPr>
            </w:pPr>
            <w:r>
              <w:rPr>
                <w:rFonts w:hint="eastAsia"/>
              </w:rPr>
              <w:t>100</w:t>
            </w:r>
          </w:p>
        </w:tc>
        <w:tc>
          <w:tcPr>
            <w:tcW w:w="0" w:type="auto"/>
            <w:vAlign w:val="center"/>
          </w:tcPr>
          <w:p>
            <w:pPr>
              <w:pStyle w:val="54"/>
              <w:jc w:val="center"/>
              <w:rPr>
                <w:color w:val="000000"/>
                <w:spacing w:val="-12"/>
              </w:rPr>
            </w:pPr>
            <w:r>
              <w:rPr>
                <w:rFonts w:hint="eastAsi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9" w:type="dxa"/>
            <w:vMerge w:val="continue"/>
            <w:vAlign w:val="center"/>
          </w:tcPr>
          <w:p>
            <w:pPr>
              <w:pStyle w:val="54"/>
              <w:jc w:val="center"/>
            </w:pPr>
          </w:p>
        </w:tc>
        <w:tc>
          <w:tcPr>
            <w:tcW w:w="709" w:type="dxa"/>
            <w:vMerge w:val="continue"/>
            <w:vAlign w:val="center"/>
          </w:tcPr>
          <w:p>
            <w:pPr>
              <w:pStyle w:val="54"/>
              <w:jc w:val="center"/>
            </w:pPr>
          </w:p>
        </w:tc>
        <w:tc>
          <w:tcPr>
            <w:tcW w:w="425" w:type="dxa"/>
            <w:vAlign w:val="center"/>
          </w:tcPr>
          <w:p>
            <w:pPr>
              <w:pStyle w:val="54"/>
              <w:jc w:val="center"/>
            </w:pPr>
            <w:r>
              <w:rPr>
                <w:rFonts w:hint="eastAsia"/>
              </w:rPr>
              <w:t>40</w:t>
            </w:r>
          </w:p>
        </w:tc>
        <w:tc>
          <w:tcPr>
            <w:tcW w:w="2693" w:type="dxa"/>
            <w:vAlign w:val="center"/>
          </w:tcPr>
          <w:p>
            <w:pPr>
              <w:pStyle w:val="54"/>
              <w:jc w:val="center"/>
            </w:pPr>
            <w:r>
              <w:rPr>
                <w:rFonts w:hint="eastAsia"/>
              </w:rPr>
              <w:t>城镇人均公园绿地面积</w:t>
            </w:r>
          </w:p>
        </w:tc>
        <w:tc>
          <w:tcPr>
            <w:tcW w:w="567" w:type="dxa"/>
            <w:vAlign w:val="center"/>
          </w:tcPr>
          <w:p>
            <w:pPr>
              <w:pStyle w:val="54"/>
              <w:jc w:val="center"/>
            </w:pPr>
            <w:r>
              <w:rPr>
                <w:rFonts w:hint="eastAsia"/>
              </w:rPr>
              <w:t>平方米</w:t>
            </w:r>
          </w:p>
          <w:p>
            <w:pPr>
              <w:pStyle w:val="54"/>
              <w:jc w:val="center"/>
            </w:pPr>
            <w:r>
              <w:rPr>
                <w:rFonts w:hint="eastAsia"/>
              </w:rPr>
              <w:t>/人</w:t>
            </w:r>
          </w:p>
        </w:tc>
        <w:tc>
          <w:tcPr>
            <w:tcW w:w="1701" w:type="dxa"/>
            <w:vAlign w:val="center"/>
          </w:tcPr>
          <w:p>
            <w:pPr>
              <w:pStyle w:val="54"/>
              <w:jc w:val="center"/>
            </w:pPr>
            <w:r>
              <w:rPr>
                <w:rFonts w:hint="eastAsia"/>
              </w:rPr>
              <w:t>市≥15</w:t>
            </w:r>
          </w:p>
          <w:p>
            <w:pPr>
              <w:pStyle w:val="54"/>
              <w:jc w:val="center"/>
            </w:pPr>
            <w:r>
              <w:rPr>
                <w:rFonts w:hint="eastAsia"/>
              </w:rPr>
              <w:t>县≥13</w:t>
            </w:r>
          </w:p>
        </w:tc>
        <w:tc>
          <w:tcPr>
            <w:tcW w:w="851" w:type="dxa"/>
            <w:vAlign w:val="center"/>
          </w:tcPr>
          <w:p>
            <w:pPr>
              <w:pStyle w:val="54"/>
              <w:jc w:val="center"/>
            </w:pPr>
            <w:r>
              <w:rPr>
                <w:rFonts w:hint="eastAsia"/>
              </w:rPr>
              <w:t>参考性</w:t>
            </w:r>
          </w:p>
        </w:tc>
        <w:tc>
          <w:tcPr>
            <w:tcW w:w="2707" w:type="dxa"/>
            <w:vAlign w:val="center"/>
          </w:tcPr>
          <w:p>
            <w:pPr>
              <w:pStyle w:val="54"/>
              <w:jc w:val="center"/>
            </w:pPr>
            <w:r>
              <w:rPr>
                <w:rFonts w:hint="eastAsia"/>
              </w:rPr>
              <w:t>11.61</w:t>
            </w:r>
          </w:p>
        </w:tc>
        <w:tc>
          <w:tcPr>
            <w:tcW w:w="0" w:type="auto"/>
            <w:vAlign w:val="center"/>
          </w:tcPr>
          <w:p>
            <w:pPr>
              <w:pStyle w:val="54"/>
              <w:jc w:val="center"/>
              <w:rPr>
                <w:color w:val="000000"/>
                <w:spacing w:val="-12"/>
              </w:rPr>
            </w:pPr>
            <w:r>
              <w:rPr>
                <w:rFonts w:hint="eastAsia"/>
              </w:rPr>
              <w:t>13</w:t>
            </w:r>
          </w:p>
        </w:tc>
        <w:tc>
          <w:tcPr>
            <w:tcW w:w="0" w:type="auto"/>
            <w:vAlign w:val="center"/>
          </w:tcPr>
          <w:p>
            <w:pPr>
              <w:pStyle w:val="54"/>
              <w:jc w:val="center"/>
              <w:rPr>
                <w:color w:val="000000"/>
                <w:spacing w:val="-12"/>
              </w:rPr>
            </w:pPr>
            <w:r>
              <w:rPr>
                <w:rFonts w:hint="eastAsia"/>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9" w:type="dxa"/>
            <w:vMerge w:val="continue"/>
            <w:vAlign w:val="center"/>
          </w:tcPr>
          <w:p>
            <w:pPr>
              <w:pStyle w:val="54"/>
              <w:jc w:val="center"/>
            </w:pPr>
          </w:p>
        </w:tc>
        <w:tc>
          <w:tcPr>
            <w:tcW w:w="709" w:type="dxa"/>
            <w:vMerge w:val="continue"/>
            <w:vAlign w:val="center"/>
          </w:tcPr>
          <w:p>
            <w:pPr>
              <w:pStyle w:val="54"/>
              <w:jc w:val="center"/>
            </w:pPr>
          </w:p>
        </w:tc>
        <w:tc>
          <w:tcPr>
            <w:tcW w:w="425" w:type="dxa"/>
            <w:vAlign w:val="center"/>
          </w:tcPr>
          <w:p>
            <w:pPr>
              <w:pStyle w:val="54"/>
              <w:jc w:val="center"/>
            </w:pPr>
            <w:r>
              <w:rPr>
                <w:rFonts w:hint="eastAsia"/>
              </w:rPr>
              <w:t>41</w:t>
            </w:r>
          </w:p>
        </w:tc>
        <w:tc>
          <w:tcPr>
            <w:tcW w:w="2693" w:type="dxa"/>
            <w:vAlign w:val="center"/>
          </w:tcPr>
          <w:p>
            <w:pPr>
              <w:pStyle w:val="54"/>
              <w:jc w:val="center"/>
            </w:pPr>
            <w:r>
              <w:rPr>
                <w:rFonts w:hint="eastAsia"/>
              </w:rPr>
              <w:t>农村无害化卫生厕所普及率</w:t>
            </w:r>
          </w:p>
        </w:tc>
        <w:tc>
          <w:tcPr>
            <w:tcW w:w="567" w:type="dxa"/>
            <w:vAlign w:val="center"/>
          </w:tcPr>
          <w:p>
            <w:pPr>
              <w:pStyle w:val="54"/>
              <w:jc w:val="center"/>
            </w:pPr>
            <w:r>
              <w:rPr>
                <w:rFonts w:hint="eastAsia"/>
              </w:rPr>
              <w:t>%</w:t>
            </w:r>
          </w:p>
        </w:tc>
        <w:tc>
          <w:tcPr>
            <w:tcW w:w="1701" w:type="dxa"/>
            <w:vAlign w:val="center"/>
          </w:tcPr>
          <w:p>
            <w:pPr>
              <w:pStyle w:val="54"/>
              <w:jc w:val="center"/>
            </w:pPr>
            <w:r>
              <w:rPr>
                <w:rFonts w:hint="eastAsia"/>
              </w:rPr>
              <w:t>≥99</w:t>
            </w:r>
          </w:p>
        </w:tc>
        <w:tc>
          <w:tcPr>
            <w:tcW w:w="851" w:type="dxa"/>
            <w:vAlign w:val="center"/>
          </w:tcPr>
          <w:p>
            <w:pPr>
              <w:pStyle w:val="54"/>
              <w:jc w:val="center"/>
            </w:pPr>
            <w:r>
              <w:rPr>
                <w:rFonts w:hint="eastAsia"/>
              </w:rPr>
              <w:t>约束性</w:t>
            </w:r>
          </w:p>
        </w:tc>
        <w:tc>
          <w:tcPr>
            <w:tcW w:w="2707" w:type="dxa"/>
            <w:vAlign w:val="center"/>
          </w:tcPr>
          <w:p>
            <w:pPr>
              <w:pStyle w:val="54"/>
              <w:jc w:val="center"/>
            </w:pPr>
            <w:r>
              <w:rPr>
                <w:rFonts w:hint="eastAsia"/>
              </w:rPr>
              <w:t>100</w:t>
            </w:r>
          </w:p>
        </w:tc>
        <w:tc>
          <w:tcPr>
            <w:tcW w:w="0" w:type="auto"/>
            <w:vAlign w:val="center"/>
          </w:tcPr>
          <w:p>
            <w:pPr>
              <w:pStyle w:val="54"/>
              <w:jc w:val="center"/>
              <w:rPr>
                <w:color w:val="000000"/>
                <w:spacing w:val="-12"/>
              </w:rPr>
            </w:pPr>
            <w:r>
              <w:rPr>
                <w:rFonts w:hint="eastAsia"/>
              </w:rPr>
              <w:t>100</w:t>
            </w:r>
          </w:p>
        </w:tc>
        <w:tc>
          <w:tcPr>
            <w:tcW w:w="0" w:type="auto"/>
            <w:vAlign w:val="center"/>
          </w:tcPr>
          <w:p>
            <w:pPr>
              <w:pStyle w:val="54"/>
              <w:jc w:val="center"/>
              <w:rPr>
                <w:color w:val="000000"/>
                <w:spacing w:val="-12"/>
              </w:rPr>
            </w:pPr>
            <w:r>
              <w:rPr>
                <w:rFonts w:hint="eastAsi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9" w:type="dxa"/>
            <w:vMerge w:val="continue"/>
            <w:vAlign w:val="center"/>
          </w:tcPr>
          <w:p>
            <w:pPr>
              <w:pStyle w:val="54"/>
              <w:jc w:val="center"/>
            </w:pPr>
          </w:p>
        </w:tc>
        <w:tc>
          <w:tcPr>
            <w:tcW w:w="709" w:type="dxa"/>
            <w:vMerge w:val="restart"/>
            <w:vAlign w:val="center"/>
          </w:tcPr>
          <w:p>
            <w:pPr>
              <w:pStyle w:val="54"/>
              <w:jc w:val="center"/>
            </w:pPr>
            <w:r>
              <w:rPr>
                <w:rFonts w:hint="eastAsia"/>
              </w:rPr>
              <w:t>（九）生活方式绿色化</w:t>
            </w:r>
          </w:p>
        </w:tc>
        <w:tc>
          <w:tcPr>
            <w:tcW w:w="425" w:type="dxa"/>
            <w:vAlign w:val="center"/>
          </w:tcPr>
          <w:p>
            <w:pPr>
              <w:pStyle w:val="54"/>
              <w:jc w:val="center"/>
            </w:pPr>
            <w:r>
              <w:rPr>
                <w:rFonts w:hint="eastAsia"/>
              </w:rPr>
              <w:t>42</w:t>
            </w:r>
          </w:p>
        </w:tc>
        <w:tc>
          <w:tcPr>
            <w:tcW w:w="2693" w:type="dxa"/>
            <w:vAlign w:val="center"/>
          </w:tcPr>
          <w:p>
            <w:pPr>
              <w:pStyle w:val="54"/>
              <w:jc w:val="center"/>
            </w:pPr>
            <w:r>
              <w:rPr>
                <w:rFonts w:hint="eastAsia"/>
              </w:rPr>
              <w:t>城镇新建绿色建筑比例</w:t>
            </w:r>
          </w:p>
        </w:tc>
        <w:tc>
          <w:tcPr>
            <w:tcW w:w="567" w:type="dxa"/>
            <w:vAlign w:val="center"/>
          </w:tcPr>
          <w:p>
            <w:pPr>
              <w:pStyle w:val="54"/>
              <w:jc w:val="center"/>
            </w:pPr>
            <w:r>
              <w:rPr>
                <w:rFonts w:hint="eastAsia"/>
              </w:rPr>
              <w:t>%</w:t>
            </w:r>
          </w:p>
        </w:tc>
        <w:tc>
          <w:tcPr>
            <w:tcW w:w="1701" w:type="dxa"/>
            <w:vAlign w:val="center"/>
          </w:tcPr>
          <w:p>
            <w:pPr>
              <w:pStyle w:val="54"/>
              <w:jc w:val="center"/>
            </w:pPr>
            <w:r>
              <w:rPr>
                <w:rFonts w:hint="eastAsia"/>
              </w:rPr>
              <w:t>≥96</w:t>
            </w:r>
          </w:p>
        </w:tc>
        <w:tc>
          <w:tcPr>
            <w:tcW w:w="851" w:type="dxa"/>
            <w:vAlign w:val="center"/>
          </w:tcPr>
          <w:p>
            <w:pPr>
              <w:pStyle w:val="54"/>
              <w:jc w:val="center"/>
            </w:pPr>
            <w:r>
              <w:rPr>
                <w:rFonts w:hint="eastAsia"/>
              </w:rPr>
              <w:t>参考性</w:t>
            </w:r>
          </w:p>
        </w:tc>
        <w:tc>
          <w:tcPr>
            <w:tcW w:w="2707" w:type="dxa"/>
            <w:vAlign w:val="center"/>
          </w:tcPr>
          <w:p>
            <w:pPr>
              <w:pStyle w:val="54"/>
              <w:jc w:val="center"/>
            </w:pPr>
            <w:r>
              <w:rPr>
                <w:rFonts w:hint="eastAsia"/>
              </w:rPr>
              <w:t>100</w:t>
            </w:r>
          </w:p>
        </w:tc>
        <w:tc>
          <w:tcPr>
            <w:tcW w:w="0" w:type="auto"/>
            <w:vAlign w:val="center"/>
          </w:tcPr>
          <w:p>
            <w:pPr>
              <w:pStyle w:val="54"/>
              <w:jc w:val="center"/>
              <w:rPr>
                <w:color w:val="000000"/>
                <w:spacing w:val="-12"/>
              </w:rPr>
            </w:pPr>
            <w:r>
              <w:rPr>
                <w:rFonts w:hint="eastAsia"/>
              </w:rPr>
              <w:t>100</w:t>
            </w:r>
          </w:p>
        </w:tc>
        <w:tc>
          <w:tcPr>
            <w:tcW w:w="0" w:type="auto"/>
            <w:vAlign w:val="center"/>
          </w:tcPr>
          <w:p>
            <w:pPr>
              <w:pStyle w:val="54"/>
              <w:jc w:val="center"/>
              <w:rPr>
                <w:color w:val="000000"/>
                <w:spacing w:val="-12"/>
              </w:rPr>
            </w:pPr>
            <w:r>
              <w:rPr>
                <w:rFonts w:hint="eastAsi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9" w:type="dxa"/>
            <w:vMerge w:val="continue"/>
            <w:vAlign w:val="center"/>
          </w:tcPr>
          <w:p>
            <w:pPr>
              <w:pStyle w:val="54"/>
              <w:jc w:val="center"/>
            </w:pPr>
          </w:p>
        </w:tc>
        <w:tc>
          <w:tcPr>
            <w:tcW w:w="709" w:type="dxa"/>
            <w:vMerge w:val="continue"/>
            <w:vAlign w:val="center"/>
          </w:tcPr>
          <w:p>
            <w:pPr>
              <w:pStyle w:val="54"/>
              <w:jc w:val="center"/>
            </w:pPr>
          </w:p>
        </w:tc>
        <w:tc>
          <w:tcPr>
            <w:tcW w:w="425" w:type="dxa"/>
            <w:vAlign w:val="center"/>
          </w:tcPr>
          <w:p>
            <w:pPr>
              <w:pStyle w:val="54"/>
              <w:jc w:val="center"/>
            </w:pPr>
            <w:r>
              <w:rPr>
                <w:rFonts w:hint="eastAsia"/>
              </w:rPr>
              <w:t>4</w:t>
            </w:r>
            <w:r>
              <w:t>3</w:t>
            </w:r>
          </w:p>
        </w:tc>
        <w:tc>
          <w:tcPr>
            <w:tcW w:w="2693" w:type="dxa"/>
            <w:vAlign w:val="center"/>
          </w:tcPr>
          <w:p>
            <w:pPr>
              <w:pStyle w:val="54"/>
              <w:jc w:val="center"/>
            </w:pPr>
            <w:r>
              <w:rPr>
                <w:rFonts w:hint="eastAsia"/>
              </w:rPr>
              <w:t>公共交通出行分担率</w:t>
            </w:r>
          </w:p>
        </w:tc>
        <w:tc>
          <w:tcPr>
            <w:tcW w:w="567" w:type="dxa"/>
            <w:vAlign w:val="center"/>
          </w:tcPr>
          <w:p>
            <w:pPr>
              <w:pStyle w:val="54"/>
              <w:jc w:val="center"/>
            </w:pPr>
            <w:r>
              <w:rPr>
                <w:rFonts w:hint="eastAsia"/>
              </w:rPr>
              <w:t>%</w:t>
            </w:r>
          </w:p>
        </w:tc>
        <w:tc>
          <w:tcPr>
            <w:tcW w:w="1701" w:type="dxa"/>
            <w:vAlign w:val="center"/>
          </w:tcPr>
          <w:p>
            <w:pPr>
              <w:pStyle w:val="54"/>
              <w:jc w:val="center"/>
            </w:pPr>
            <w:r>
              <w:rPr>
                <w:rFonts w:hint="eastAsia"/>
              </w:rPr>
              <w:t>超、特大城市≥70</w:t>
            </w:r>
          </w:p>
          <w:p>
            <w:pPr>
              <w:pStyle w:val="54"/>
              <w:jc w:val="center"/>
            </w:pPr>
            <w:r>
              <w:rPr>
                <w:rFonts w:hint="eastAsia"/>
              </w:rPr>
              <w:t>大城市≥60</w:t>
            </w:r>
          </w:p>
          <w:p>
            <w:pPr>
              <w:pStyle w:val="54"/>
              <w:jc w:val="center"/>
            </w:pPr>
            <w:r>
              <w:rPr>
                <w:rFonts w:hint="eastAsia"/>
              </w:rPr>
              <w:t>中小城市≥50</w:t>
            </w:r>
          </w:p>
        </w:tc>
        <w:tc>
          <w:tcPr>
            <w:tcW w:w="851" w:type="dxa"/>
            <w:vAlign w:val="center"/>
          </w:tcPr>
          <w:p>
            <w:pPr>
              <w:pStyle w:val="54"/>
              <w:jc w:val="center"/>
            </w:pPr>
            <w:r>
              <w:rPr>
                <w:rFonts w:hint="eastAsia"/>
              </w:rPr>
              <w:t>参考性</w:t>
            </w:r>
          </w:p>
        </w:tc>
        <w:tc>
          <w:tcPr>
            <w:tcW w:w="2707" w:type="dxa"/>
            <w:vAlign w:val="center"/>
          </w:tcPr>
          <w:p>
            <w:pPr>
              <w:pStyle w:val="54"/>
              <w:jc w:val="center"/>
            </w:pPr>
            <w:r>
              <w:rPr>
                <w:rFonts w:hint="eastAsia"/>
              </w:rPr>
              <w:t>-</w:t>
            </w:r>
          </w:p>
        </w:tc>
        <w:tc>
          <w:tcPr>
            <w:tcW w:w="0" w:type="auto"/>
            <w:vAlign w:val="center"/>
          </w:tcPr>
          <w:p>
            <w:pPr>
              <w:pStyle w:val="54"/>
              <w:jc w:val="center"/>
            </w:pPr>
            <w:r>
              <w:rPr>
                <w:rFonts w:hint="eastAsia"/>
              </w:rPr>
              <w:t>-</w:t>
            </w:r>
          </w:p>
        </w:tc>
        <w:tc>
          <w:tcPr>
            <w:tcW w:w="0" w:type="auto"/>
            <w:vAlign w:val="center"/>
          </w:tcPr>
          <w:p>
            <w:pPr>
              <w:pStyle w:val="54"/>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9" w:type="dxa"/>
            <w:vMerge w:val="continue"/>
            <w:vAlign w:val="center"/>
          </w:tcPr>
          <w:p>
            <w:pPr>
              <w:pStyle w:val="54"/>
              <w:jc w:val="center"/>
            </w:pPr>
          </w:p>
        </w:tc>
        <w:tc>
          <w:tcPr>
            <w:tcW w:w="709" w:type="dxa"/>
            <w:vMerge w:val="continue"/>
            <w:vAlign w:val="center"/>
          </w:tcPr>
          <w:p>
            <w:pPr>
              <w:pStyle w:val="54"/>
              <w:jc w:val="center"/>
            </w:pPr>
          </w:p>
        </w:tc>
        <w:tc>
          <w:tcPr>
            <w:tcW w:w="425" w:type="dxa"/>
            <w:vAlign w:val="center"/>
          </w:tcPr>
          <w:p>
            <w:pPr>
              <w:pStyle w:val="54"/>
              <w:jc w:val="center"/>
            </w:pPr>
            <w:r>
              <w:rPr>
                <w:rFonts w:hint="eastAsia"/>
              </w:rPr>
              <w:t>44</w:t>
            </w:r>
          </w:p>
        </w:tc>
        <w:tc>
          <w:tcPr>
            <w:tcW w:w="2693" w:type="dxa"/>
            <w:vAlign w:val="center"/>
          </w:tcPr>
          <w:p>
            <w:pPr>
              <w:pStyle w:val="54"/>
              <w:jc w:val="center"/>
            </w:pPr>
            <w:r>
              <w:rPr>
                <w:rFonts w:hint="eastAsia"/>
              </w:rPr>
              <w:t>生活垃圾废弃物综合利用：</w:t>
            </w:r>
          </w:p>
          <w:p>
            <w:pPr>
              <w:pStyle w:val="54"/>
              <w:jc w:val="center"/>
            </w:pPr>
            <w:r>
              <w:rPr>
                <w:rFonts w:hint="eastAsia" w:cs="宋体"/>
              </w:rPr>
              <w:t>①</w:t>
            </w:r>
            <w:r>
              <w:rPr>
                <w:rFonts w:hint="eastAsia"/>
              </w:rPr>
              <w:t>城镇垃圾分类减量化行动</w:t>
            </w:r>
          </w:p>
          <w:p>
            <w:pPr>
              <w:pStyle w:val="54"/>
              <w:jc w:val="center"/>
              <w:rPr>
                <w:spacing w:val="-10"/>
              </w:rPr>
            </w:pPr>
            <w:r>
              <w:rPr>
                <w:rFonts w:hint="eastAsia" w:cs="宋体"/>
              </w:rPr>
              <w:t>②</w:t>
            </w:r>
            <w:r>
              <w:rPr>
                <w:rFonts w:hint="eastAsia"/>
              </w:rPr>
              <w:t>农村生活垃圾分类处理建制村覆盖率</w:t>
            </w:r>
          </w:p>
        </w:tc>
        <w:tc>
          <w:tcPr>
            <w:tcW w:w="567" w:type="dxa"/>
            <w:vAlign w:val="center"/>
          </w:tcPr>
          <w:p>
            <w:pPr>
              <w:pStyle w:val="54"/>
              <w:jc w:val="center"/>
            </w:pPr>
          </w:p>
          <w:p>
            <w:pPr>
              <w:pStyle w:val="54"/>
              <w:jc w:val="center"/>
            </w:pPr>
            <w:r>
              <w:rPr>
                <w:rFonts w:hint="eastAsia"/>
              </w:rPr>
              <w:t>-</w:t>
            </w:r>
          </w:p>
          <w:p>
            <w:pPr>
              <w:pStyle w:val="54"/>
              <w:jc w:val="center"/>
            </w:pPr>
          </w:p>
          <w:p>
            <w:pPr>
              <w:pStyle w:val="54"/>
              <w:jc w:val="center"/>
            </w:pPr>
            <w:r>
              <w:rPr>
                <w:rFonts w:hint="eastAsia"/>
              </w:rPr>
              <w:t>%</w:t>
            </w:r>
          </w:p>
        </w:tc>
        <w:tc>
          <w:tcPr>
            <w:tcW w:w="1701" w:type="dxa"/>
            <w:vAlign w:val="center"/>
          </w:tcPr>
          <w:p>
            <w:pPr>
              <w:pStyle w:val="54"/>
              <w:jc w:val="center"/>
            </w:pPr>
            <w:r>
              <w:rPr>
                <w:rFonts w:hint="eastAsia" w:cs="宋体"/>
              </w:rPr>
              <w:t>①</w:t>
            </w:r>
            <w:r>
              <w:rPr>
                <w:rFonts w:hint="eastAsia"/>
              </w:rPr>
              <w:t>实施</w:t>
            </w:r>
          </w:p>
          <w:p>
            <w:pPr>
              <w:pStyle w:val="54"/>
              <w:jc w:val="center"/>
            </w:pPr>
            <w:r>
              <w:rPr>
                <w:rFonts w:hint="eastAsia" w:cs="宋体"/>
              </w:rPr>
              <w:t>②</w:t>
            </w:r>
            <w:r>
              <w:rPr>
                <w:rFonts w:hint="eastAsia"/>
              </w:rPr>
              <w:t>≥80</w:t>
            </w:r>
          </w:p>
        </w:tc>
        <w:tc>
          <w:tcPr>
            <w:tcW w:w="851" w:type="dxa"/>
            <w:vAlign w:val="center"/>
          </w:tcPr>
          <w:p>
            <w:pPr>
              <w:pStyle w:val="54"/>
              <w:jc w:val="center"/>
            </w:pPr>
            <w:r>
              <w:rPr>
                <w:rFonts w:hint="eastAsia"/>
              </w:rPr>
              <w:t>约束性</w:t>
            </w:r>
          </w:p>
        </w:tc>
        <w:tc>
          <w:tcPr>
            <w:tcW w:w="2707" w:type="dxa"/>
            <w:vAlign w:val="center"/>
          </w:tcPr>
          <w:p>
            <w:pPr>
              <w:pStyle w:val="54"/>
              <w:jc w:val="center"/>
            </w:pPr>
            <w:r>
              <w:rPr>
                <w:rFonts w:hint="eastAsia"/>
              </w:rPr>
              <w:t>实施</w:t>
            </w:r>
          </w:p>
          <w:p>
            <w:pPr>
              <w:pStyle w:val="54"/>
              <w:jc w:val="center"/>
            </w:pPr>
            <w:r>
              <w:t>97.5</w:t>
            </w:r>
          </w:p>
        </w:tc>
        <w:tc>
          <w:tcPr>
            <w:tcW w:w="0" w:type="auto"/>
            <w:vAlign w:val="center"/>
          </w:tcPr>
          <w:p>
            <w:pPr>
              <w:pStyle w:val="54"/>
              <w:jc w:val="center"/>
            </w:pPr>
            <w:r>
              <w:rPr>
                <w:rFonts w:hint="eastAsia"/>
              </w:rPr>
              <w:t>实施</w:t>
            </w:r>
          </w:p>
          <w:p>
            <w:pPr>
              <w:pStyle w:val="54"/>
              <w:jc w:val="center"/>
              <w:rPr>
                <w:color w:val="000000"/>
                <w:spacing w:val="-12"/>
              </w:rPr>
            </w:pPr>
            <w:r>
              <w:t>98</w:t>
            </w:r>
          </w:p>
        </w:tc>
        <w:tc>
          <w:tcPr>
            <w:tcW w:w="0" w:type="auto"/>
            <w:vAlign w:val="center"/>
          </w:tcPr>
          <w:p>
            <w:pPr>
              <w:pStyle w:val="54"/>
              <w:jc w:val="center"/>
            </w:pPr>
            <w:r>
              <w:rPr>
                <w:rFonts w:hint="eastAsia"/>
              </w:rPr>
              <w:t>实施</w:t>
            </w:r>
          </w:p>
          <w:p>
            <w:pPr>
              <w:pStyle w:val="54"/>
              <w:jc w:val="center"/>
              <w:rPr>
                <w:color w:val="000000"/>
                <w:spacing w:val="-12"/>
              </w:rPr>
            </w:pPr>
            <w:r>
              <w:rPr>
                <w:rFonts w:hint="eastAsi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9" w:type="dxa"/>
            <w:vMerge w:val="continue"/>
            <w:vAlign w:val="center"/>
          </w:tcPr>
          <w:p>
            <w:pPr>
              <w:pStyle w:val="54"/>
              <w:jc w:val="center"/>
            </w:pPr>
          </w:p>
        </w:tc>
        <w:tc>
          <w:tcPr>
            <w:tcW w:w="709" w:type="dxa"/>
            <w:vMerge w:val="continue"/>
            <w:vAlign w:val="center"/>
          </w:tcPr>
          <w:p>
            <w:pPr>
              <w:pStyle w:val="54"/>
              <w:jc w:val="center"/>
            </w:pPr>
          </w:p>
        </w:tc>
        <w:tc>
          <w:tcPr>
            <w:tcW w:w="425" w:type="dxa"/>
            <w:vAlign w:val="center"/>
          </w:tcPr>
          <w:p>
            <w:pPr>
              <w:pStyle w:val="54"/>
              <w:jc w:val="center"/>
            </w:pPr>
            <w:r>
              <w:rPr>
                <w:rFonts w:hint="eastAsia"/>
              </w:rPr>
              <w:t>4</w:t>
            </w:r>
            <w:r>
              <w:t>5</w:t>
            </w:r>
          </w:p>
        </w:tc>
        <w:tc>
          <w:tcPr>
            <w:tcW w:w="2693" w:type="dxa"/>
            <w:vAlign w:val="center"/>
          </w:tcPr>
          <w:p>
            <w:pPr>
              <w:pStyle w:val="54"/>
              <w:jc w:val="center"/>
            </w:pPr>
            <w:r>
              <w:rPr>
                <w:rFonts w:hint="eastAsia"/>
              </w:rPr>
              <w:t>绿色产品市场占有率：</w:t>
            </w:r>
          </w:p>
          <w:p>
            <w:pPr>
              <w:pStyle w:val="54"/>
              <w:jc w:val="center"/>
            </w:pPr>
            <w:r>
              <w:rPr>
                <w:rFonts w:hint="eastAsia"/>
              </w:rPr>
              <w:t>①节能家电市场占有率</w:t>
            </w:r>
          </w:p>
          <w:p>
            <w:pPr>
              <w:pStyle w:val="54"/>
              <w:jc w:val="center"/>
            </w:pPr>
            <w:r>
              <w:rPr>
                <w:rFonts w:hint="eastAsia"/>
              </w:rPr>
              <w:t>②在售用水器具中节水型器具占比</w:t>
            </w:r>
          </w:p>
          <w:p>
            <w:pPr>
              <w:pStyle w:val="54"/>
              <w:jc w:val="center"/>
            </w:pPr>
            <w:r>
              <w:rPr>
                <w:rFonts w:hint="eastAsia"/>
              </w:rPr>
              <w:t>③一次性消费品人均使</w:t>
            </w:r>
          </w:p>
          <w:p>
            <w:pPr>
              <w:pStyle w:val="54"/>
              <w:jc w:val="center"/>
            </w:pPr>
            <w:r>
              <w:rPr>
                <w:rFonts w:hint="eastAsia"/>
              </w:rPr>
              <w:t>用量</w:t>
            </w:r>
          </w:p>
        </w:tc>
        <w:tc>
          <w:tcPr>
            <w:tcW w:w="567" w:type="dxa"/>
            <w:vAlign w:val="center"/>
          </w:tcPr>
          <w:p>
            <w:pPr>
              <w:pStyle w:val="54"/>
              <w:jc w:val="center"/>
            </w:pPr>
            <w:r>
              <w:t>%</w:t>
            </w:r>
          </w:p>
          <w:p>
            <w:pPr>
              <w:pStyle w:val="54"/>
              <w:jc w:val="center"/>
            </w:pPr>
            <w:r>
              <w:t>%</w:t>
            </w:r>
          </w:p>
          <w:p>
            <w:pPr>
              <w:pStyle w:val="54"/>
              <w:jc w:val="center"/>
            </w:pPr>
            <w:r>
              <w:rPr>
                <w:rFonts w:hint="eastAsia"/>
              </w:rPr>
              <w:t>千克</w:t>
            </w:r>
          </w:p>
        </w:tc>
        <w:tc>
          <w:tcPr>
            <w:tcW w:w="1701" w:type="dxa"/>
            <w:vAlign w:val="center"/>
          </w:tcPr>
          <w:p>
            <w:pPr>
              <w:pStyle w:val="54"/>
              <w:jc w:val="center"/>
            </w:pPr>
            <w:r>
              <w:rPr>
                <w:rFonts w:hint="eastAsia"/>
              </w:rPr>
              <w:t>≥50</w:t>
            </w:r>
          </w:p>
          <w:p>
            <w:pPr>
              <w:pStyle w:val="54"/>
              <w:jc w:val="center"/>
            </w:pPr>
            <w:r>
              <w:t>100</w:t>
            </w:r>
          </w:p>
          <w:p>
            <w:pPr>
              <w:pStyle w:val="54"/>
              <w:jc w:val="center"/>
            </w:pPr>
            <w:r>
              <w:rPr>
                <w:rFonts w:hint="eastAsia"/>
              </w:rPr>
              <w:t>逐步下降</w:t>
            </w:r>
          </w:p>
        </w:tc>
        <w:tc>
          <w:tcPr>
            <w:tcW w:w="851" w:type="dxa"/>
            <w:vAlign w:val="center"/>
          </w:tcPr>
          <w:p>
            <w:pPr>
              <w:pStyle w:val="54"/>
              <w:jc w:val="center"/>
            </w:pPr>
            <w:r>
              <w:rPr>
                <w:rFonts w:hint="eastAsia"/>
              </w:rPr>
              <w:t>参考性</w:t>
            </w:r>
          </w:p>
        </w:tc>
        <w:tc>
          <w:tcPr>
            <w:tcW w:w="2707" w:type="dxa"/>
            <w:vAlign w:val="center"/>
          </w:tcPr>
          <w:p>
            <w:pPr>
              <w:pStyle w:val="54"/>
              <w:jc w:val="center"/>
            </w:pPr>
            <w:r>
              <w:rPr>
                <w:rFonts w:hint="eastAsia"/>
              </w:rPr>
              <w:t>-</w:t>
            </w:r>
          </w:p>
        </w:tc>
        <w:tc>
          <w:tcPr>
            <w:tcW w:w="0" w:type="auto"/>
            <w:vAlign w:val="center"/>
          </w:tcPr>
          <w:p>
            <w:pPr>
              <w:pStyle w:val="54"/>
              <w:jc w:val="center"/>
            </w:pPr>
            <w:r>
              <w:rPr>
                <w:rFonts w:hint="eastAsia"/>
              </w:rPr>
              <w:t>-</w:t>
            </w:r>
          </w:p>
        </w:tc>
        <w:tc>
          <w:tcPr>
            <w:tcW w:w="0" w:type="auto"/>
            <w:vAlign w:val="center"/>
          </w:tcPr>
          <w:p>
            <w:pPr>
              <w:pStyle w:val="54"/>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9" w:type="dxa"/>
            <w:vMerge w:val="continue"/>
            <w:vAlign w:val="center"/>
          </w:tcPr>
          <w:p>
            <w:pPr>
              <w:pStyle w:val="54"/>
              <w:jc w:val="center"/>
            </w:pPr>
          </w:p>
        </w:tc>
        <w:tc>
          <w:tcPr>
            <w:tcW w:w="709" w:type="dxa"/>
            <w:vMerge w:val="continue"/>
            <w:vAlign w:val="center"/>
          </w:tcPr>
          <w:p>
            <w:pPr>
              <w:pStyle w:val="54"/>
              <w:jc w:val="center"/>
            </w:pPr>
          </w:p>
        </w:tc>
        <w:tc>
          <w:tcPr>
            <w:tcW w:w="425" w:type="dxa"/>
            <w:vAlign w:val="center"/>
          </w:tcPr>
          <w:p>
            <w:pPr>
              <w:pStyle w:val="54"/>
              <w:jc w:val="center"/>
            </w:pPr>
            <w:r>
              <w:rPr>
                <w:rFonts w:hint="eastAsia"/>
              </w:rPr>
              <w:t>46</w:t>
            </w:r>
          </w:p>
        </w:tc>
        <w:tc>
          <w:tcPr>
            <w:tcW w:w="2693" w:type="dxa"/>
            <w:vAlign w:val="center"/>
          </w:tcPr>
          <w:p>
            <w:pPr>
              <w:pStyle w:val="54"/>
              <w:jc w:val="center"/>
            </w:pPr>
            <w:r>
              <w:rPr>
                <w:rFonts w:hint="eastAsia"/>
              </w:rPr>
              <w:t>政府绿色采购比例</w:t>
            </w:r>
          </w:p>
        </w:tc>
        <w:tc>
          <w:tcPr>
            <w:tcW w:w="567" w:type="dxa"/>
            <w:vAlign w:val="center"/>
          </w:tcPr>
          <w:p>
            <w:pPr>
              <w:pStyle w:val="54"/>
              <w:jc w:val="center"/>
            </w:pPr>
            <w:r>
              <w:rPr>
                <w:rFonts w:hint="eastAsia"/>
              </w:rPr>
              <w:t>%</w:t>
            </w:r>
          </w:p>
        </w:tc>
        <w:tc>
          <w:tcPr>
            <w:tcW w:w="1701" w:type="dxa"/>
            <w:vAlign w:val="center"/>
          </w:tcPr>
          <w:p>
            <w:pPr>
              <w:pStyle w:val="54"/>
              <w:jc w:val="center"/>
            </w:pPr>
            <w:r>
              <w:rPr>
                <w:rFonts w:hint="eastAsia"/>
              </w:rPr>
              <w:t>≥80</w:t>
            </w:r>
          </w:p>
        </w:tc>
        <w:tc>
          <w:tcPr>
            <w:tcW w:w="851" w:type="dxa"/>
            <w:vAlign w:val="center"/>
          </w:tcPr>
          <w:p>
            <w:pPr>
              <w:pStyle w:val="54"/>
              <w:jc w:val="center"/>
            </w:pPr>
            <w:r>
              <w:rPr>
                <w:rFonts w:hint="eastAsia"/>
              </w:rPr>
              <w:t>参考性</w:t>
            </w:r>
          </w:p>
        </w:tc>
        <w:tc>
          <w:tcPr>
            <w:tcW w:w="2707" w:type="dxa"/>
            <w:vAlign w:val="center"/>
          </w:tcPr>
          <w:p>
            <w:pPr>
              <w:pStyle w:val="54"/>
              <w:jc w:val="center"/>
            </w:pPr>
            <w:r>
              <w:rPr>
                <w:rFonts w:hint="eastAsia"/>
              </w:rPr>
              <w:t>90</w:t>
            </w:r>
          </w:p>
        </w:tc>
        <w:tc>
          <w:tcPr>
            <w:tcW w:w="0" w:type="auto"/>
            <w:vAlign w:val="center"/>
          </w:tcPr>
          <w:p>
            <w:pPr>
              <w:pStyle w:val="54"/>
              <w:jc w:val="center"/>
            </w:pPr>
            <w:r>
              <w:rPr>
                <w:rFonts w:hint="eastAsia"/>
              </w:rPr>
              <w:t>持续提高</w:t>
            </w:r>
          </w:p>
        </w:tc>
        <w:tc>
          <w:tcPr>
            <w:tcW w:w="0" w:type="auto"/>
            <w:vAlign w:val="center"/>
          </w:tcPr>
          <w:p>
            <w:pPr>
              <w:pStyle w:val="54"/>
              <w:jc w:val="center"/>
            </w:pPr>
            <w:r>
              <w:rPr>
                <w:rFonts w:hint="eastAsia"/>
              </w:rPr>
              <w:t>持续提高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9" w:type="dxa"/>
            <w:vMerge w:val="restart"/>
            <w:vAlign w:val="center"/>
          </w:tcPr>
          <w:p>
            <w:pPr>
              <w:pStyle w:val="54"/>
              <w:jc w:val="center"/>
            </w:pPr>
            <w:r>
              <w:rPr>
                <w:rFonts w:hint="eastAsia"/>
              </w:rPr>
              <w:t>生态文化</w:t>
            </w:r>
          </w:p>
        </w:tc>
        <w:tc>
          <w:tcPr>
            <w:tcW w:w="709" w:type="dxa"/>
            <w:vMerge w:val="restart"/>
            <w:vAlign w:val="center"/>
          </w:tcPr>
          <w:p>
            <w:pPr>
              <w:pStyle w:val="54"/>
              <w:jc w:val="center"/>
            </w:pPr>
            <w:r>
              <w:rPr>
                <w:rFonts w:hint="eastAsia"/>
              </w:rPr>
              <w:t>（十）观念意识普及</w:t>
            </w:r>
          </w:p>
        </w:tc>
        <w:tc>
          <w:tcPr>
            <w:tcW w:w="425" w:type="dxa"/>
            <w:vAlign w:val="center"/>
          </w:tcPr>
          <w:p>
            <w:pPr>
              <w:pStyle w:val="54"/>
              <w:jc w:val="center"/>
            </w:pPr>
            <w:r>
              <w:rPr>
                <w:rFonts w:hint="eastAsia"/>
              </w:rPr>
              <w:t>47</w:t>
            </w:r>
          </w:p>
        </w:tc>
        <w:tc>
          <w:tcPr>
            <w:tcW w:w="2693" w:type="dxa"/>
            <w:vAlign w:val="center"/>
          </w:tcPr>
          <w:p>
            <w:pPr>
              <w:pStyle w:val="54"/>
              <w:jc w:val="center"/>
            </w:pPr>
            <w:r>
              <w:rPr>
                <w:rFonts w:hint="eastAsia"/>
              </w:rPr>
              <w:t>党政领导干部参加生态文明培训的人数比例</w:t>
            </w:r>
          </w:p>
        </w:tc>
        <w:tc>
          <w:tcPr>
            <w:tcW w:w="567" w:type="dxa"/>
            <w:vAlign w:val="center"/>
          </w:tcPr>
          <w:p>
            <w:pPr>
              <w:pStyle w:val="54"/>
              <w:jc w:val="center"/>
            </w:pPr>
            <w:r>
              <w:rPr>
                <w:rFonts w:hint="eastAsia"/>
              </w:rPr>
              <w:t>%</w:t>
            </w:r>
          </w:p>
        </w:tc>
        <w:tc>
          <w:tcPr>
            <w:tcW w:w="1701" w:type="dxa"/>
            <w:vAlign w:val="center"/>
          </w:tcPr>
          <w:p>
            <w:pPr>
              <w:pStyle w:val="54"/>
              <w:jc w:val="center"/>
            </w:pPr>
            <w:r>
              <w:rPr>
                <w:rFonts w:hint="eastAsia"/>
              </w:rPr>
              <w:t>100</w:t>
            </w:r>
          </w:p>
        </w:tc>
        <w:tc>
          <w:tcPr>
            <w:tcW w:w="851" w:type="dxa"/>
            <w:vAlign w:val="center"/>
          </w:tcPr>
          <w:p>
            <w:pPr>
              <w:pStyle w:val="54"/>
              <w:jc w:val="center"/>
            </w:pPr>
            <w:r>
              <w:rPr>
                <w:rFonts w:hint="eastAsia"/>
              </w:rPr>
              <w:t>参考性</w:t>
            </w:r>
          </w:p>
        </w:tc>
        <w:tc>
          <w:tcPr>
            <w:tcW w:w="2707" w:type="dxa"/>
            <w:vAlign w:val="center"/>
          </w:tcPr>
          <w:p>
            <w:pPr>
              <w:pStyle w:val="54"/>
              <w:jc w:val="center"/>
            </w:pPr>
            <w:r>
              <w:rPr>
                <w:rFonts w:hint="eastAsia"/>
              </w:rPr>
              <w:t>100</w:t>
            </w:r>
          </w:p>
        </w:tc>
        <w:tc>
          <w:tcPr>
            <w:tcW w:w="0" w:type="auto"/>
            <w:vAlign w:val="center"/>
          </w:tcPr>
          <w:p>
            <w:pPr>
              <w:pStyle w:val="54"/>
              <w:jc w:val="center"/>
              <w:rPr>
                <w:color w:val="000000"/>
                <w:spacing w:val="-12"/>
              </w:rPr>
            </w:pPr>
            <w:r>
              <w:rPr>
                <w:rFonts w:hint="eastAsia"/>
              </w:rPr>
              <w:t>100</w:t>
            </w:r>
          </w:p>
        </w:tc>
        <w:tc>
          <w:tcPr>
            <w:tcW w:w="0" w:type="auto"/>
            <w:vAlign w:val="center"/>
          </w:tcPr>
          <w:p>
            <w:pPr>
              <w:pStyle w:val="54"/>
              <w:jc w:val="center"/>
              <w:rPr>
                <w:color w:val="000000"/>
                <w:spacing w:val="-12"/>
              </w:rPr>
            </w:pPr>
            <w:r>
              <w:rPr>
                <w:rFonts w:hint="eastAsi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9" w:type="dxa"/>
            <w:vMerge w:val="continue"/>
            <w:vAlign w:val="center"/>
          </w:tcPr>
          <w:p>
            <w:pPr>
              <w:pStyle w:val="54"/>
              <w:jc w:val="center"/>
            </w:pPr>
          </w:p>
        </w:tc>
        <w:tc>
          <w:tcPr>
            <w:tcW w:w="709" w:type="dxa"/>
            <w:vMerge w:val="continue"/>
            <w:vAlign w:val="center"/>
          </w:tcPr>
          <w:p>
            <w:pPr>
              <w:pStyle w:val="54"/>
              <w:jc w:val="center"/>
            </w:pPr>
          </w:p>
        </w:tc>
        <w:tc>
          <w:tcPr>
            <w:tcW w:w="425" w:type="dxa"/>
            <w:vAlign w:val="center"/>
          </w:tcPr>
          <w:p>
            <w:pPr>
              <w:pStyle w:val="54"/>
              <w:jc w:val="center"/>
            </w:pPr>
            <w:r>
              <w:rPr>
                <w:rFonts w:hint="eastAsia"/>
              </w:rPr>
              <w:t>48</w:t>
            </w:r>
          </w:p>
        </w:tc>
        <w:tc>
          <w:tcPr>
            <w:tcW w:w="2693" w:type="dxa"/>
            <w:vAlign w:val="center"/>
          </w:tcPr>
          <w:p>
            <w:pPr>
              <w:pStyle w:val="54"/>
              <w:jc w:val="center"/>
            </w:pPr>
            <w:r>
              <w:rPr>
                <w:rFonts w:hint="eastAsia"/>
              </w:rPr>
              <w:t>生态环境公众满意度</w:t>
            </w:r>
          </w:p>
        </w:tc>
        <w:tc>
          <w:tcPr>
            <w:tcW w:w="567" w:type="dxa"/>
            <w:vAlign w:val="center"/>
          </w:tcPr>
          <w:p>
            <w:pPr>
              <w:pStyle w:val="54"/>
              <w:jc w:val="center"/>
            </w:pPr>
            <w:r>
              <w:rPr>
                <w:rFonts w:hint="eastAsia"/>
              </w:rPr>
              <w:t>-</w:t>
            </w:r>
          </w:p>
        </w:tc>
        <w:tc>
          <w:tcPr>
            <w:tcW w:w="1701" w:type="dxa"/>
            <w:vAlign w:val="center"/>
          </w:tcPr>
          <w:p>
            <w:pPr>
              <w:pStyle w:val="54"/>
              <w:jc w:val="center"/>
            </w:pPr>
            <w:r>
              <w:rPr>
                <w:rFonts w:hint="eastAsia"/>
              </w:rPr>
              <w:t>高于全省平均值，</w:t>
            </w:r>
          </w:p>
          <w:p>
            <w:pPr>
              <w:pStyle w:val="54"/>
              <w:jc w:val="center"/>
            </w:pPr>
            <w:r>
              <w:rPr>
                <w:rFonts w:hint="eastAsia"/>
              </w:rPr>
              <w:t>或逐年上升</w:t>
            </w:r>
          </w:p>
        </w:tc>
        <w:tc>
          <w:tcPr>
            <w:tcW w:w="851" w:type="dxa"/>
            <w:vAlign w:val="center"/>
          </w:tcPr>
          <w:p>
            <w:pPr>
              <w:pStyle w:val="54"/>
              <w:jc w:val="center"/>
            </w:pPr>
            <w:r>
              <w:rPr>
                <w:rFonts w:hint="eastAsia"/>
              </w:rPr>
              <w:t>参考性</w:t>
            </w:r>
          </w:p>
        </w:tc>
        <w:tc>
          <w:tcPr>
            <w:tcW w:w="2707" w:type="dxa"/>
            <w:vAlign w:val="center"/>
          </w:tcPr>
          <w:p>
            <w:pPr>
              <w:pStyle w:val="54"/>
              <w:jc w:val="center"/>
            </w:pPr>
            <w:r>
              <w:rPr>
                <w:rFonts w:hint="eastAsia"/>
              </w:rPr>
              <w:t>8</w:t>
            </w:r>
            <w:r>
              <w:t>4.4</w:t>
            </w:r>
            <w:r>
              <w:rPr>
                <w:rFonts w:hint="eastAsia"/>
              </w:rPr>
              <w:t>，逐年上升</w:t>
            </w:r>
          </w:p>
        </w:tc>
        <w:tc>
          <w:tcPr>
            <w:tcW w:w="0" w:type="auto"/>
            <w:vAlign w:val="center"/>
          </w:tcPr>
          <w:p>
            <w:pPr>
              <w:pStyle w:val="54"/>
              <w:jc w:val="center"/>
            </w:pPr>
            <w:r>
              <w:rPr>
                <w:rFonts w:hint="eastAsia"/>
              </w:rPr>
              <w:t>高于全省平均值，</w:t>
            </w:r>
          </w:p>
          <w:p>
            <w:pPr>
              <w:pStyle w:val="54"/>
              <w:jc w:val="center"/>
              <w:rPr>
                <w:color w:val="000000"/>
                <w:spacing w:val="-12"/>
              </w:rPr>
            </w:pPr>
            <w:r>
              <w:rPr>
                <w:rFonts w:hint="eastAsia"/>
              </w:rPr>
              <w:t>或逐年上升</w:t>
            </w:r>
          </w:p>
        </w:tc>
        <w:tc>
          <w:tcPr>
            <w:tcW w:w="0" w:type="auto"/>
            <w:vAlign w:val="center"/>
          </w:tcPr>
          <w:p>
            <w:pPr>
              <w:pStyle w:val="54"/>
              <w:jc w:val="center"/>
            </w:pPr>
            <w:r>
              <w:rPr>
                <w:rFonts w:hint="eastAsia"/>
              </w:rPr>
              <w:t>高于全省平均值，</w:t>
            </w:r>
          </w:p>
          <w:p>
            <w:pPr>
              <w:pStyle w:val="54"/>
              <w:jc w:val="center"/>
              <w:rPr>
                <w:bCs/>
                <w:iCs/>
                <w:color w:val="000000"/>
                <w:spacing w:val="-12"/>
              </w:rPr>
            </w:pPr>
            <w:r>
              <w:rPr>
                <w:rFonts w:hint="eastAsia"/>
              </w:rPr>
              <w:t>或逐年上升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279" w:type="dxa"/>
            <w:vMerge w:val="continue"/>
            <w:vAlign w:val="center"/>
          </w:tcPr>
          <w:p>
            <w:pPr>
              <w:pStyle w:val="54"/>
              <w:jc w:val="center"/>
            </w:pPr>
          </w:p>
        </w:tc>
        <w:tc>
          <w:tcPr>
            <w:tcW w:w="709" w:type="dxa"/>
            <w:vMerge w:val="continue"/>
            <w:vAlign w:val="center"/>
          </w:tcPr>
          <w:p>
            <w:pPr>
              <w:pStyle w:val="54"/>
              <w:jc w:val="center"/>
            </w:pPr>
          </w:p>
        </w:tc>
        <w:tc>
          <w:tcPr>
            <w:tcW w:w="425" w:type="dxa"/>
            <w:vAlign w:val="center"/>
          </w:tcPr>
          <w:p>
            <w:pPr>
              <w:pStyle w:val="54"/>
              <w:jc w:val="center"/>
            </w:pPr>
            <w:r>
              <w:rPr>
                <w:rFonts w:hint="eastAsia"/>
              </w:rPr>
              <w:t>49</w:t>
            </w:r>
          </w:p>
        </w:tc>
        <w:tc>
          <w:tcPr>
            <w:tcW w:w="2693" w:type="dxa"/>
            <w:vAlign w:val="center"/>
          </w:tcPr>
          <w:p>
            <w:pPr>
              <w:pStyle w:val="54"/>
              <w:jc w:val="center"/>
            </w:pPr>
            <w:r>
              <w:rPr>
                <w:rFonts w:hint="eastAsia"/>
              </w:rPr>
              <w:t>生态环境公众参与度</w:t>
            </w:r>
          </w:p>
        </w:tc>
        <w:tc>
          <w:tcPr>
            <w:tcW w:w="567" w:type="dxa"/>
            <w:vAlign w:val="center"/>
          </w:tcPr>
          <w:p>
            <w:pPr>
              <w:pStyle w:val="54"/>
              <w:jc w:val="center"/>
            </w:pPr>
            <w:r>
              <w:rPr>
                <w:rFonts w:hint="eastAsia"/>
              </w:rPr>
              <w:t>-</w:t>
            </w:r>
          </w:p>
        </w:tc>
        <w:tc>
          <w:tcPr>
            <w:tcW w:w="1701" w:type="dxa"/>
            <w:vAlign w:val="center"/>
          </w:tcPr>
          <w:p>
            <w:pPr>
              <w:pStyle w:val="54"/>
              <w:jc w:val="center"/>
            </w:pPr>
            <w:r>
              <w:rPr>
                <w:rFonts w:hint="eastAsia"/>
              </w:rPr>
              <w:t>≥80</w:t>
            </w:r>
          </w:p>
        </w:tc>
        <w:tc>
          <w:tcPr>
            <w:tcW w:w="851" w:type="dxa"/>
            <w:vAlign w:val="center"/>
          </w:tcPr>
          <w:p>
            <w:pPr>
              <w:pStyle w:val="54"/>
              <w:jc w:val="center"/>
            </w:pPr>
            <w:r>
              <w:rPr>
                <w:rFonts w:hint="eastAsia"/>
              </w:rPr>
              <w:t>参考性</w:t>
            </w:r>
          </w:p>
        </w:tc>
        <w:tc>
          <w:tcPr>
            <w:tcW w:w="2707" w:type="dxa"/>
            <w:vAlign w:val="center"/>
          </w:tcPr>
          <w:p>
            <w:pPr>
              <w:pStyle w:val="54"/>
              <w:jc w:val="center"/>
            </w:pPr>
            <w:r>
              <w:rPr>
                <w:rFonts w:hint="eastAsia"/>
              </w:rPr>
              <w:t>83.71</w:t>
            </w:r>
          </w:p>
        </w:tc>
        <w:tc>
          <w:tcPr>
            <w:tcW w:w="0" w:type="auto"/>
            <w:vAlign w:val="center"/>
          </w:tcPr>
          <w:p>
            <w:pPr>
              <w:pStyle w:val="54"/>
              <w:jc w:val="center"/>
            </w:pPr>
            <w:r>
              <w:rPr>
                <w:rFonts w:hint="eastAsia"/>
              </w:rPr>
              <w:t>持续提高</w:t>
            </w:r>
          </w:p>
        </w:tc>
        <w:tc>
          <w:tcPr>
            <w:tcW w:w="0" w:type="auto"/>
            <w:vAlign w:val="center"/>
          </w:tcPr>
          <w:p>
            <w:pPr>
              <w:pStyle w:val="54"/>
              <w:jc w:val="center"/>
            </w:pPr>
            <w:r>
              <w:rPr>
                <w:rFonts w:hint="eastAsia"/>
              </w:rPr>
              <w:t>持续提高</w:t>
            </w:r>
          </w:p>
        </w:tc>
      </w:tr>
    </w:tbl>
    <w:p>
      <w:pPr>
        <w:pStyle w:val="54"/>
        <w:ind w:firstLine="420"/>
      </w:pPr>
      <w:r>
        <w:rPr>
          <w:rFonts w:hint="eastAsia"/>
        </w:rPr>
        <w:t>注：</w:t>
      </w:r>
      <w:r>
        <w:rPr>
          <w:rFonts w:hint="eastAsia"/>
          <w:vertAlign w:val="superscript"/>
        </w:rPr>
        <w:t xml:space="preserve"> 1</w:t>
      </w:r>
      <w:r>
        <w:rPr>
          <w:rFonts w:hint="eastAsia"/>
        </w:rPr>
        <w:t>该指标为201</w:t>
      </w:r>
      <w:r>
        <w:t>8</w:t>
      </w:r>
      <w:r>
        <w:rPr>
          <w:rFonts w:hint="eastAsia"/>
        </w:rPr>
        <w:t>年数据。</w:t>
      </w:r>
    </w:p>
    <w:p>
      <w:pPr>
        <w:pStyle w:val="54"/>
        <w:ind w:firstLine="420"/>
      </w:pPr>
      <w:r>
        <w:rPr>
          <w:rFonts w:hint="eastAsia"/>
        </w:rPr>
        <w:t>“-”表示该指标不属于江北区省级生态文明建设示范区指标。</w:t>
      </w:r>
    </w:p>
    <w:p>
      <w:pPr>
        <w:tabs>
          <w:tab w:val="center" w:pos="6979"/>
        </w:tabs>
        <w:ind w:firstLine="560"/>
        <w:rPr>
          <w:rFonts w:cs="Times New Roman"/>
          <w:szCs w:val="28"/>
        </w:rPr>
        <w:sectPr>
          <w:pgSz w:w="16838" w:h="11906" w:orient="landscape"/>
          <w:pgMar w:top="1800" w:right="1440" w:bottom="1800" w:left="1440" w:header="851" w:footer="992" w:gutter="0"/>
          <w:cols w:space="425" w:num="1"/>
          <w:docGrid w:type="lines" w:linePitch="312" w:charSpace="0"/>
        </w:sectPr>
      </w:pPr>
      <w:r>
        <w:rPr>
          <w:rFonts w:cs="Times New Roman"/>
          <w:szCs w:val="28"/>
        </w:rPr>
        <w:tab/>
      </w:r>
    </w:p>
    <w:p>
      <w:pPr>
        <w:pStyle w:val="2"/>
        <w:rPr>
          <w:rFonts w:eastAsia="仿宋_GB2312"/>
        </w:rPr>
      </w:pPr>
      <w:bookmarkStart w:id="36" w:name="_Toc503535047"/>
      <w:bookmarkStart w:id="37" w:name="_Toc495421002"/>
      <w:r>
        <w:rPr>
          <w:rFonts w:hint="eastAsia" w:eastAsia="仿宋_GB2312"/>
        </w:rPr>
        <w:t xml:space="preserve"> </w:t>
      </w:r>
      <w:bookmarkStart w:id="38" w:name="_Toc66031101"/>
      <w:r>
        <w:rPr>
          <w:rFonts w:hint="eastAsia" w:eastAsia="仿宋_GB2312"/>
        </w:rPr>
        <w:t>构建系统完备的生态制度</w:t>
      </w:r>
      <w:bookmarkEnd w:id="38"/>
    </w:p>
    <w:p>
      <w:pPr>
        <w:keepNext/>
        <w:keepLines/>
        <w:numPr>
          <w:ilvl w:val="0"/>
          <w:numId w:val="10"/>
        </w:numPr>
        <w:spacing w:line="384" w:lineRule="auto"/>
        <w:outlineLvl w:val="1"/>
        <w:rPr>
          <w:rFonts w:cs="Times New Roman"/>
          <w:b/>
        </w:rPr>
      </w:pPr>
      <w:bookmarkStart w:id="39" w:name="_Toc66031102"/>
      <w:r>
        <w:rPr>
          <w:rFonts w:hint="eastAsia" w:cs="Times New Roman"/>
          <w:b/>
        </w:rPr>
        <w:t>贯彻最</w:t>
      </w:r>
      <w:r>
        <w:rPr>
          <w:rFonts w:hint="eastAsia" w:cs="Times New Roman"/>
          <w:b/>
          <w:bCs/>
          <w:szCs w:val="30"/>
        </w:rPr>
        <w:t>严格</w:t>
      </w:r>
      <w:r>
        <w:rPr>
          <w:rFonts w:hint="eastAsia" w:cs="Times New Roman"/>
          <w:b/>
        </w:rPr>
        <w:t>的生态环境保护制度</w:t>
      </w:r>
      <w:bookmarkEnd w:id="39"/>
    </w:p>
    <w:p>
      <w:pPr>
        <w:spacing w:line="384" w:lineRule="auto"/>
        <w:ind w:firstLine="602" w:firstLineChars="200"/>
        <w:rPr>
          <w:rFonts w:cs="Times New Roman"/>
          <w:szCs w:val="28"/>
        </w:rPr>
      </w:pPr>
      <w:r>
        <w:rPr>
          <w:rFonts w:hint="eastAsia" w:cs="Times New Roman"/>
          <w:b/>
          <w:szCs w:val="28"/>
        </w:rPr>
        <w:t>严格落实领导生态保护责任。</w:t>
      </w:r>
      <w:r>
        <w:rPr>
          <w:rFonts w:hint="eastAsia" w:cs="Times New Roman"/>
          <w:szCs w:val="28"/>
        </w:rPr>
        <w:t>强化绿色发展导向，加强生态环境保护党政主体责任、部门监管责任，落实生态环境保护工作责任规定。健全生态文明建设目标考核体系，探索建立符合江北区发展实际的生态文明建设指标体系和高质量发展指标体系，全面开展领导干部自然资源资产离任审计，到2025年，涉及自然资源的部门、属地党政一把手离任审计覆盖率达到50%以上，到203</w:t>
      </w:r>
      <w:r>
        <w:rPr>
          <w:rFonts w:cs="Times New Roman"/>
          <w:szCs w:val="28"/>
        </w:rPr>
        <w:t>0</w:t>
      </w:r>
      <w:r>
        <w:rPr>
          <w:rFonts w:hint="eastAsia" w:cs="Times New Roman"/>
          <w:szCs w:val="28"/>
        </w:rPr>
        <w:t>年达到</w:t>
      </w:r>
      <w:r>
        <w:rPr>
          <w:rFonts w:cs="Times New Roman"/>
          <w:szCs w:val="28"/>
        </w:rPr>
        <w:t>80</w:t>
      </w:r>
      <w:r>
        <w:rPr>
          <w:rFonts w:hint="eastAsia" w:cs="Times New Roman"/>
          <w:szCs w:val="28"/>
        </w:rPr>
        <w:t>%以上。不断落实完善生态环境损害责任追究制度，积极贯彻落实生态环境状况报告制度，实现街道 (镇)生态环境状况报告制度100%全覆盖，完善“河长制”、“湖长制”长效管理考核机制。</w:t>
      </w:r>
    </w:p>
    <w:tbl>
      <w:tblPr>
        <w:tblStyle w:val="23"/>
        <w:tblW w:w="0" w:type="auto"/>
        <w:jc w:val="center"/>
        <w:tblLayout w:type="fixed"/>
        <w:tblCellMar>
          <w:top w:w="0" w:type="dxa"/>
          <w:left w:w="108" w:type="dxa"/>
          <w:bottom w:w="0" w:type="dxa"/>
          <w:right w:w="108" w:type="dxa"/>
        </w:tblCellMar>
      </w:tblPr>
      <w:tblGrid>
        <w:gridCol w:w="7963"/>
      </w:tblGrid>
      <w:tr>
        <w:tblPrEx>
          <w:tblCellMar>
            <w:top w:w="0" w:type="dxa"/>
            <w:left w:w="108" w:type="dxa"/>
            <w:bottom w:w="0" w:type="dxa"/>
            <w:right w:w="108" w:type="dxa"/>
          </w:tblCellMar>
        </w:tblPrEx>
        <w:trPr>
          <w:trHeight w:val="90" w:hRule="atLeast"/>
          <w:jc w:val="center"/>
        </w:trPr>
        <w:tc>
          <w:tcPr>
            <w:tcW w:w="7963" w:type="dxa"/>
            <w:tcBorders>
              <w:top w:val="single" w:color="auto" w:sz="4" w:space="0"/>
              <w:left w:val="single" w:color="auto" w:sz="4" w:space="0"/>
              <w:bottom w:val="single" w:color="auto" w:sz="4" w:space="0"/>
              <w:right w:val="single" w:color="auto" w:sz="4" w:space="0"/>
            </w:tcBorders>
            <w:vAlign w:val="center"/>
          </w:tcPr>
          <w:p>
            <w:pPr>
              <w:pStyle w:val="11"/>
              <w:keepNext/>
              <w:ind w:firstLine="480"/>
              <w:jc w:val="center"/>
              <w:rPr>
                <w:sz w:val="24"/>
                <w:szCs w:val="24"/>
              </w:rPr>
            </w:pPr>
            <w:r>
              <w:rPr>
                <w:sz w:val="24"/>
                <w:szCs w:val="24"/>
              </w:rPr>
              <w:t>专栏：</w:t>
            </w:r>
            <w:r>
              <w:rPr>
                <w:rFonts w:hint="eastAsia"/>
                <w:sz w:val="24"/>
                <w:szCs w:val="24"/>
              </w:rPr>
              <w:t>街道 (镇)</w:t>
            </w:r>
            <w:r>
              <w:rPr>
                <w:rFonts w:hint="eastAsia"/>
              </w:rPr>
              <w:t xml:space="preserve"> </w:t>
            </w:r>
            <w:r>
              <w:rPr>
                <w:rFonts w:hint="eastAsia"/>
                <w:sz w:val="24"/>
                <w:szCs w:val="24"/>
              </w:rPr>
              <w:t>生态环境状况报告制度</w:t>
            </w:r>
            <w:r>
              <w:rPr>
                <w:sz w:val="24"/>
                <w:szCs w:val="24"/>
              </w:rPr>
              <w:t>和</w:t>
            </w:r>
            <w:r>
              <w:rPr>
                <w:rFonts w:hint="eastAsia"/>
                <w:sz w:val="24"/>
                <w:szCs w:val="24"/>
              </w:rPr>
              <w:t>自然资源</w:t>
            </w:r>
            <w:r>
              <w:rPr>
                <w:sz w:val="24"/>
                <w:szCs w:val="24"/>
              </w:rPr>
              <w:t>离任审计</w:t>
            </w:r>
          </w:p>
        </w:tc>
      </w:tr>
      <w:tr>
        <w:tblPrEx>
          <w:tblCellMar>
            <w:top w:w="0" w:type="dxa"/>
            <w:left w:w="108" w:type="dxa"/>
            <w:bottom w:w="0" w:type="dxa"/>
            <w:right w:w="108" w:type="dxa"/>
          </w:tblCellMar>
        </w:tblPrEx>
        <w:trPr>
          <w:jc w:val="center"/>
        </w:trPr>
        <w:tc>
          <w:tcPr>
            <w:tcW w:w="7963" w:type="dxa"/>
            <w:tcBorders>
              <w:top w:val="single" w:color="auto" w:sz="4" w:space="0"/>
              <w:left w:val="single" w:color="auto" w:sz="4" w:space="0"/>
              <w:bottom w:val="single" w:color="auto" w:sz="4" w:space="0"/>
              <w:right w:val="single" w:color="auto" w:sz="4" w:space="0"/>
            </w:tcBorders>
          </w:tcPr>
          <w:p>
            <w:pPr>
              <w:ind w:firstLine="480"/>
              <w:rPr>
                <w:sz w:val="24"/>
                <w:szCs w:val="24"/>
              </w:rPr>
            </w:pPr>
            <w:r>
              <w:rPr>
                <w:sz w:val="24"/>
                <w:szCs w:val="24"/>
              </w:rPr>
              <w:t>（1）</w:t>
            </w:r>
            <w:r>
              <w:rPr>
                <w:rFonts w:hint="eastAsia"/>
                <w:sz w:val="24"/>
                <w:szCs w:val="24"/>
              </w:rPr>
              <w:t>街道 (镇) 生态环境状况报告制度</w:t>
            </w:r>
          </w:p>
          <w:p>
            <w:pPr>
              <w:ind w:firstLine="480"/>
              <w:rPr>
                <w:sz w:val="24"/>
                <w:szCs w:val="24"/>
              </w:rPr>
            </w:pPr>
            <w:r>
              <w:rPr>
                <w:sz w:val="24"/>
                <w:szCs w:val="24"/>
              </w:rPr>
              <w:t>开展</w:t>
            </w:r>
            <w:r>
              <w:rPr>
                <w:rFonts w:hint="eastAsia"/>
                <w:sz w:val="24"/>
                <w:szCs w:val="24"/>
              </w:rPr>
              <w:t>街道 (镇) 生态环境状况报告制度</w:t>
            </w:r>
            <w:r>
              <w:rPr>
                <w:sz w:val="24"/>
                <w:szCs w:val="24"/>
              </w:rPr>
              <w:t>，</w:t>
            </w:r>
            <w:r>
              <w:rPr>
                <w:rFonts w:hint="eastAsia"/>
                <w:sz w:val="24"/>
                <w:szCs w:val="24"/>
              </w:rPr>
              <w:t>对照水、大气、土壤污染防治（包括水、大气环境质量限期达标规划）和环境综合整治等目标任务和工作要求，逐项说明任务完成和工作成效等情况，分析面临的形势和存在的问题，查找短板和差距，提出下一步目标任务和工作措施</w:t>
            </w:r>
            <w:r>
              <w:rPr>
                <w:sz w:val="24"/>
                <w:szCs w:val="24"/>
              </w:rPr>
              <w:t>。</w:t>
            </w:r>
          </w:p>
          <w:p>
            <w:pPr>
              <w:ind w:firstLine="480"/>
              <w:rPr>
                <w:sz w:val="24"/>
                <w:szCs w:val="24"/>
              </w:rPr>
            </w:pPr>
            <w:r>
              <w:rPr>
                <w:sz w:val="24"/>
                <w:szCs w:val="24"/>
              </w:rPr>
              <w:t>（2）</w:t>
            </w:r>
            <w:r>
              <w:rPr>
                <w:rFonts w:hint="eastAsia"/>
                <w:sz w:val="24"/>
                <w:szCs w:val="24"/>
              </w:rPr>
              <w:t>自然资源资产离任审计</w:t>
            </w:r>
          </w:p>
          <w:p>
            <w:pPr>
              <w:ind w:firstLine="480"/>
              <w:rPr>
                <w:sz w:val="24"/>
                <w:szCs w:val="24"/>
              </w:rPr>
            </w:pPr>
            <w:r>
              <w:rPr>
                <w:rFonts w:hint="eastAsia"/>
                <w:sz w:val="24"/>
                <w:szCs w:val="24"/>
              </w:rPr>
              <w:t>按照《浙江省领导干部自然资源资产离任审计实施办法（试行）》（浙委办发〔2019〕13号）要求，对包括土地、水、森林、草原、矿产等自然资源资产的管理开发利用；大气、水、土壤等环境保护和环境改善；森林、草原、河流、湖泊、湿地等生态系统的保护和修复，以及其他与自然资源资产管理和生态环境保护相关的事项进行综合分析，按照好、较好、一般、较差、差5个等次客观评价被审计领导干部履行自然资源资产管理和生态环境保护责任情况。到2025年，对涉及自然资源的部门、属地党政一把手离任审计50%以上，到203</w:t>
            </w:r>
            <w:r>
              <w:rPr>
                <w:sz w:val="24"/>
                <w:szCs w:val="24"/>
              </w:rPr>
              <w:t>0</w:t>
            </w:r>
            <w:r>
              <w:rPr>
                <w:rFonts w:hint="eastAsia"/>
                <w:sz w:val="24"/>
                <w:szCs w:val="24"/>
              </w:rPr>
              <w:t>年达到</w:t>
            </w:r>
            <w:r>
              <w:rPr>
                <w:sz w:val="24"/>
                <w:szCs w:val="24"/>
              </w:rPr>
              <w:t>80</w:t>
            </w:r>
            <w:r>
              <w:rPr>
                <w:rFonts w:hint="eastAsia"/>
                <w:sz w:val="24"/>
                <w:szCs w:val="24"/>
              </w:rPr>
              <w:t>%以上。</w:t>
            </w:r>
          </w:p>
        </w:tc>
      </w:tr>
    </w:tbl>
    <w:p>
      <w:pPr>
        <w:spacing w:line="384" w:lineRule="auto"/>
        <w:ind w:firstLine="602" w:firstLineChars="200"/>
        <w:rPr>
          <w:rFonts w:cs="Times New Roman"/>
          <w:szCs w:val="28"/>
        </w:rPr>
      </w:pPr>
      <w:r>
        <w:rPr>
          <w:rFonts w:hint="eastAsia" w:cs="Times New Roman"/>
          <w:b/>
          <w:szCs w:val="28"/>
        </w:rPr>
        <w:t>完善环境治理监管体系。</w:t>
      </w:r>
      <w:r>
        <w:rPr>
          <w:rFonts w:hint="eastAsia" w:cs="Times New Roman"/>
          <w:szCs w:val="28"/>
        </w:rPr>
        <w:t>全面完成生态环境机构监测监察执法垂直管理制度改革，落实区、街道（镇）、村三级生态环境网格化监管机制。整合相关部门污染防治和生态环境保护执法职责，积极推进生态环境保护综合行政执法。进一步优化生态环境保护行政执法与行政检察、刑事司法的衔接，强化破坏生态环境案件起诉机制，完善生态环境公益诉讼制度，到2025年基本构建完善责任明确、途径畅通、技术规范、保障有力、赔偿到位、修复有效的生态环境损害赔偿制度。</w:t>
      </w:r>
    </w:p>
    <w:p>
      <w:pPr>
        <w:spacing w:line="384" w:lineRule="auto"/>
        <w:ind w:firstLine="602" w:firstLineChars="200"/>
        <w:rPr>
          <w:rFonts w:cs="Times New Roman"/>
          <w:szCs w:val="28"/>
        </w:rPr>
      </w:pPr>
      <w:r>
        <w:rPr>
          <w:rFonts w:hint="eastAsia" w:cs="Times New Roman"/>
          <w:b/>
          <w:szCs w:val="28"/>
        </w:rPr>
        <w:t>严格落实环境治理企业主体责任。</w:t>
      </w:r>
      <w:r>
        <w:rPr>
          <w:rFonts w:hint="eastAsia" w:cs="Times New Roman"/>
          <w:szCs w:val="28"/>
        </w:rPr>
        <w:t>加快推进排污许可证管理改革，进一步整合衔接现行各项环境管理制度，配合上级建立统一的排污许可证信息管理系统，在建立覆盖所有固定污染源的排污许可证管理体系的基础上，严格落实企业污染治理、生态环境损害赔偿和生态修复责任。健全企业环境信息公开机制，逐步完善企业环境信息公开内容，创新运用企业环保码健全生态环境保护公众参与机制。推动排污企业定期开展生态环境相关活动，通过设立企业开放日、建设教育体验场所等，向社会公众介绍企业环境治理情况。</w:t>
      </w:r>
    </w:p>
    <w:p>
      <w:pPr>
        <w:pStyle w:val="3"/>
        <w:numPr>
          <w:ilvl w:val="0"/>
          <w:numId w:val="10"/>
        </w:numPr>
      </w:pPr>
      <w:bookmarkStart w:id="40" w:name="_Toc66031103"/>
      <w:r>
        <w:rPr>
          <w:rFonts w:hint="eastAsia"/>
        </w:rPr>
        <w:t>建立健全</w:t>
      </w:r>
      <w:r>
        <w:rPr>
          <w:rFonts w:hint="eastAsia"/>
          <w:szCs w:val="30"/>
        </w:rPr>
        <w:t>资源</w:t>
      </w:r>
      <w:r>
        <w:rPr>
          <w:rFonts w:hint="eastAsia"/>
        </w:rPr>
        <w:t>高效利用制度</w:t>
      </w:r>
      <w:bookmarkEnd w:id="40"/>
    </w:p>
    <w:p>
      <w:pPr>
        <w:spacing w:line="384" w:lineRule="auto"/>
        <w:ind w:firstLine="602" w:firstLineChars="200"/>
        <w:rPr>
          <w:rFonts w:cs="Times New Roman"/>
          <w:szCs w:val="28"/>
        </w:rPr>
      </w:pPr>
      <w:r>
        <w:rPr>
          <w:rFonts w:hint="eastAsia" w:cs="Times New Roman"/>
          <w:b/>
          <w:szCs w:val="28"/>
        </w:rPr>
        <w:t>健全自然资源资产产权制度。</w:t>
      </w:r>
      <w:r>
        <w:rPr>
          <w:rFonts w:hint="eastAsia" w:cs="Times New Roman"/>
          <w:szCs w:val="28"/>
        </w:rPr>
        <w:t>建立统一的确权登记系统，积极推进以土地为核心的自然资源统一登记制度，全面实施土地、房屋等不动产统一登记，逐步扩大至对全区范围内的水流、森林、山岭、矿产、湿地、荒地等自然生态资源统一进行确权登记。健全自然资源资产管理体制，进一步履行好政府对各类全民所有自然资源的交易、出让等主要管理职能，探索建立全民所有自然资源资产所有权委托代理机制。建立区政府行使所有权的自然资源清单、空间范围和职责边界，明确产权归属和管控责任。根据省、市要求完善自然资源资产负债表编制制度。</w:t>
      </w:r>
    </w:p>
    <w:p>
      <w:pPr>
        <w:spacing w:line="384" w:lineRule="auto"/>
        <w:ind w:firstLine="602" w:firstLineChars="200"/>
        <w:rPr>
          <w:rFonts w:cs="Times New Roman"/>
          <w:szCs w:val="28"/>
        </w:rPr>
      </w:pPr>
      <w:r>
        <w:rPr>
          <w:rFonts w:hint="eastAsia" w:cs="Times New Roman"/>
          <w:b/>
          <w:szCs w:val="28"/>
        </w:rPr>
        <w:t>健全资源节约集约循环利用政策体系。</w:t>
      </w:r>
      <w:r>
        <w:rPr>
          <w:rFonts w:hint="eastAsia" w:cs="Times New Roman"/>
          <w:szCs w:val="28"/>
        </w:rPr>
        <w:t>严格执行最严格的耕地保护制度和土地节约集约利用制度，完善耕地占补平衡机制，健全耕地保护补偿机制。深入推进工业区二次开发、“亩均论英雄”改革，建设具有江北发展特质的现代化工业经济体系，全力打造省市领先的都市工业创新发展样板区。实行最严格水资源管理制度，深入实施取水许可和年取水量50万吨以上水资源论证制度，落实水功能区监督管理制度。完善能源消费总量管理和节约制度，继续深化完善能源消费总量和强度“双控”管理制度，落实碳排放总量控制制度，探索建立重点行业碳排放监测、报送和核查机制。</w:t>
      </w:r>
    </w:p>
    <w:p>
      <w:pPr>
        <w:pStyle w:val="3"/>
        <w:numPr>
          <w:ilvl w:val="0"/>
          <w:numId w:val="10"/>
        </w:numPr>
      </w:pPr>
      <w:bookmarkStart w:id="41" w:name="_Toc66031104"/>
      <w:r>
        <w:rPr>
          <w:rFonts w:hint="eastAsia"/>
        </w:rPr>
        <w:t>探索绿色发展激励机制</w:t>
      </w:r>
      <w:bookmarkEnd w:id="41"/>
    </w:p>
    <w:p>
      <w:pPr>
        <w:spacing w:line="384" w:lineRule="auto"/>
        <w:ind w:firstLine="602" w:firstLineChars="200"/>
        <w:rPr>
          <w:rFonts w:cs="Times New Roman"/>
          <w:szCs w:val="28"/>
        </w:rPr>
      </w:pPr>
      <w:r>
        <w:rPr>
          <w:rFonts w:hint="eastAsia" w:cs="Times New Roman"/>
          <w:b/>
          <w:szCs w:val="28"/>
        </w:rPr>
        <w:t>积极探索生态产品价值核算方法。</w:t>
      </w:r>
      <w:r>
        <w:rPr>
          <w:rFonts w:hint="eastAsia" w:cs="Times New Roman"/>
          <w:szCs w:val="28"/>
        </w:rPr>
        <w:t>依照省级GEP核算标准，适时探索开展生态系统生产总值（GEP）核算，选择慈城镇试点，制定可实现GDP和GEP双转化、双增长的评价考核体系。构建生态产品转化交易平台，推广绿色期权、生态飞地等生态产品。加强绿色产品的认证和监管，认真落实国家、省关于绿色产品标准、认证、标识的整合改革方案，积极推进企业申请绿色产品认证，加大对小微企业绿色产品认证的资金扶持。进一步强化对绿色认证市场的长效监管，规范各类认证工作。</w:t>
      </w:r>
    </w:p>
    <w:p>
      <w:pPr>
        <w:spacing w:line="384" w:lineRule="auto"/>
        <w:ind w:firstLine="602" w:firstLineChars="200"/>
        <w:rPr>
          <w:rFonts w:cs="Times New Roman"/>
          <w:szCs w:val="28"/>
        </w:rPr>
      </w:pPr>
      <w:r>
        <w:rPr>
          <w:rFonts w:hint="eastAsia" w:cs="Times New Roman"/>
          <w:b/>
          <w:szCs w:val="28"/>
        </w:rPr>
        <w:t>创新完善生态补偿机制。</w:t>
      </w:r>
      <w:r>
        <w:rPr>
          <w:rFonts w:hint="eastAsia" w:cs="Times New Roman"/>
          <w:szCs w:val="28"/>
        </w:rPr>
        <w:t>积极落实《宁波市流域上下游横向生态补偿办法（试行）》，开展流域上下游横向生态补偿试点工作。完善区域森林生态效益补偿基金制度、水土保持生态补偿机制、矿山环境治理和生态恢复责任制度等，积极开展区域生态补偿试点。完善生态保护修复资金使用机制，整合现有政策和渠道，进一步完善水、大气、土壤等生态保护修复相关资金管理办法，对重点领域污染治理、生态保护与修复等加大支持力度。</w:t>
      </w:r>
    </w:p>
    <w:p>
      <w:pPr>
        <w:spacing w:line="384" w:lineRule="auto"/>
        <w:ind w:firstLine="602" w:firstLineChars="200"/>
        <w:rPr>
          <w:rFonts w:cs="Times New Roman"/>
          <w:szCs w:val="28"/>
        </w:rPr>
      </w:pPr>
      <w:r>
        <w:rPr>
          <w:rFonts w:hint="eastAsia" w:cs="Times New Roman"/>
          <w:b/>
          <w:szCs w:val="28"/>
        </w:rPr>
        <w:t>建立资源环境市场化机制。</w:t>
      </w:r>
      <w:r>
        <w:rPr>
          <w:rFonts w:hint="eastAsia" w:cs="Times New Roman"/>
          <w:szCs w:val="28"/>
        </w:rPr>
        <w:t>推进排污指标资源市场化配置，有效提升排污权交易活力。实施地方温室气体清单编制和重点企业碳排放报告等基础研究工作，做好相关专项工作财政经费安排。紧密结合重点用能单位节能行动和新建项目能评审查，积极探索推行用能权有偿使用和交易新机制。建设地方绿色项目库，将环境效益显著的项目纳入绿色项目库，并在全国性的资产交易中心挂牌，拓宽融资渠道。将企业环境信用评价、行政处罚、行政许可等信息纳入金融机构征信系统，形成支持节能低碳、生态环保行业发展的激励机制和抑制高污染、高能耗和产能过剩行业贷款的约束机制。</w:t>
      </w:r>
    </w:p>
    <w:p>
      <w:pPr>
        <w:pStyle w:val="3"/>
        <w:numPr>
          <w:ilvl w:val="0"/>
          <w:numId w:val="10"/>
        </w:numPr>
      </w:pPr>
      <w:bookmarkStart w:id="42" w:name="_Toc66031105"/>
      <w:r>
        <w:rPr>
          <w:rFonts w:hint="eastAsia"/>
        </w:rPr>
        <w:t>推动生态环境治理能力现代化</w:t>
      </w:r>
      <w:bookmarkEnd w:id="42"/>
    </w:p>
    <w:p>
      <w:pPr>
        <w:spacing w:line="384" w:lineRule="auto"/>
        <w:ind w:firstLine="602" w:firstLineChars="200"/>
        <w:rPr>
          <w:rFonts w:cs="Times New Roman"/>
          <w:szCs w:val="28"/>
        </w:rPr>
      </w:pPr>
      <w:r>
        <w:rPr>
          <w:rFonts w:hint="eastAsia" w:cs="Times New Roman"/>
          <w:b/>
          <w:szCs w:val="28"/>
        </w:rPr>
        <w:t>进一步提升环保服务质量。</w:t>
      </w:r>
      <w:r>
        <w:rPr>
          <w:rFonts w:hint="eastAsia" w:cs="Times New Roman"/>
          <w:szCs w:val="28"/>
        </w:rPr>
        <w:t>不断推进环境治理领域“最多跑一次”改革，完善建设项目环境行政许可一次告知、预约服务、领办代办等服务举措，拓展网上办事广度和深度，优化政务服务体验。在江北区前洋</w:t>
      </w:r>
      <w:r>
        <w:rPr>
          <w:rFonts w:cs="Times New Roman"/>
          <w:szCs w:val="28"/>
        </w:rPr>
        <w:t>E</w:t>
      </w:r>
      <w:r>
        <w:rPr>
          <w:rFonts w:hint="eastAsia" w:cs="Times New Roman"/>
          <w:szCs w:val="28"/>
        </w:rPr>
        <w:t>商小镇等环评审批改革试点的基础上，完善“区域环评+环境标准”改革方案，逐步扩大“区域环评+环境标准”改革覆盖面，建立健全以亩产排污强度为基础的环境准入制度。落实省市关于车辆检测“一件事”、告知承诺备案制、“一次申请、两证同发”（医疗机构辐射安全许可证和放射诊疗许可证）等改革要求。</w:t>
      </w:r>
    </w:p>
    <w:p>
      <w:pPr>
        <w:spacing w:line="384" w:lineRule="auto"/>
        <w:ind w:firstLine="602" w:firstLineChars="200"/>
        <w:rPr>
          <w:rFonts w:cs="Times New Roman"/>
          <w:szCs w:val="28"/>
        </w:rPr>
      </w:pPr>
      <w:r>
        <w:rPr>
          <w:rFonts w:hint="eastAsia" w:cs="Times New Roman"/>
          <w:b/>
          <w:szCs w:val="28"/>
        </w:rPr>
        <w:t>培育环境治理和生态保护市场主体。</w:t>
      </w:r>
      <w:r>
        <w:rPr>
          <w:rFonts w:hint="eastAsia" w:cs="Times New Roman"/>
          <w:szCs w:val="28"/>
        </w:rPr>
        <w:t>推动投资主体多元化，吸引各类资本参与环境基础设施和生态保护事务的投资、建设和运营，支持国有资本加大对环境治理和生态保护等领域投入。推广环境污染第三方治理，推广街道、小城镇、园区等环境综合治理托管服务模式，大力推进政府购买“环保管家”服务工作，指导企业规范环境管理，并加强对环境服务机构的监督管理。探索推进“保险+服务”的环境污染责任保险创新模式，健全环境污染责任保险制度，积极探索环境污染责任保险政府财政补贴机制。</w:t>
      </w:r>
    </w:p>
    <w:p>
      <w:pPr>
        <w:spacing w:line="384" w:lineRule="auto"/>
        <w:ind w:firstLine="602" w:firstLineChars="200"/>
        <w:rPr>
          <w:rFonts w:cs="Times New Roman"/>
          <w:szCs w:val="28"/>
        </w:rPr>
      </w:pPr>
      <w:r>
        <w:rPr>
          <w:rFonts w:hint="eastAsia" w:cs="Times New Roman"/>
          <w:b/>
          <w:szCs w:val="28"/>
        </w:rPr>
        <w:t>大力提升环境监管监测能力。</w:t>
      </w:r>
      <w:r>
        <w:rPr>
          <w:rFonts w:hint="eastAsia" w:cs="Times New Roman"/>
          <w:szCs w:val="28"/>
        </w:rPr>
        <w:t>按照省市安排完善区域生态环境监测网络，构建地表水环境监测预警系统，提升大气监测网络对复合污染物的监测能力，逐步完善臭氧、VOCs、恶臭异味等新型污染物的监测。提升区域生态环境监测网络自动化水平，新建31个地表水水质自动监测站，其中市控断面和姚江支流断面共11个，区控断面和城区内河共20个，到2025年形成要素全覆盖、天地一体化的环境监测体系，区控以上地表水环境质量自动监测覆盖率达到100%。推进高空瞭望系统建设，提高露天焚烧、扬尘污染的监管能力。完善区域土壤环境监测网络，做好监测数据管理工作，积极对接上级数据库和管理信息系统。开展机动车遥感监测网络建设，探索区域生物多样性监测评估。</w:t>
      </w:r>
    </w:p>
    <w:tbl>
      <w:tblPr>
        <w:tblStyle w:val="23"/>
        <w:tblW w:w="0" w:type="auto"/>
        <w:jc w:val="center"/>
        <w:tblLayout w:type="fixed"/>
        <w:tblCellMar>
          <w:top w:w="0" w:type="dxa"/>
          <w:left w:w="108" w:type="dxa"/>
          <w:bottom w:w="0" w:type="dxa"/>
          <w:right w:w="108" w:type="dxa"/>
        </w:tblCellMar>
      </w:tblPr>
      <w:tblGrid>
        <w:gridCol w:w="7963"/>
      </w:tblGrid>
      <w:tr>
        <w:tblPrEx>
          <w:tblCellMar>
            <w:top w:w="0" w:type="dxa"/>
            <w:left w:w="108" w:type="dxa"/>
            <w:bottom w:w="0" w:type="dxa"/>
            <w:right w:w="108" w:type="dxa"/>
          </w:tblCellMar>
        </w:tblPrEx>
        <w:trPr>
          <w:trHeight w:val="90" w:hRule="atLeast"/>
          <w:jc w:val="center"/>
        </w:trPr>
        <w:tc>
          <w:tcPr>
            <w:tcW w:w="7963" w:type="dxa"/>
            <w:tcBorders>
              <w:top w:val="single" w:color="auto" w:sz="4" w:space="0"/>
              <w:left w:val="single" w:color="auto" w:sz="4" w:space="0"/>
              <w:bottom w:val="single" w:color="auto" w:sz="4" w:space="0"/>
              <w:right w:val="single" w:color="auto" w:sz="4" w:space="0"/>
            </w:tcBorders>
            <w:vAlign w:val="center"/>
          </w:tcPr>
          <w:p>
            <w:pPr>
              <w:pStyle w:val="11"/>
              <w:jc w:val="center"/>
              <w:rPr>
                <w:sz w:val="24"/>
                <w:szCs w:val="24"/>
              </w:rPr>
            </w:pPr>
            <w:r>
              <w:rPr>
                <w:sz w:val="24"/>
                <w:szCs w:val="24"/>
              </w:rPr>
              <w:t>专栏：</w:t>
            </w:r>
            <w:r>
              <w:rPr>
                <w:rFonts w:hint="eastAsia"/>
                <w:sz w:val="24"/>
                <w:szCs w:val="24"/>
              </w:rPr>
              <w:t>区域生态环境监测网络自动化水平</w:t>
            </w:r>
          </w:p>
        </w:tc>
      </w:tr>
      <w:tr>
        <w:tblPrEx>
          <w:tblCellMar>
            <w:top w:w="0" w:type="dxa"/>
            <w:left w:w="108" w:type="dxa"/>
            <w:bottom w:w="0" w:type="dxa"/>
            <w:right w:w="108" w:type="dxa"/>
          </w:tblCellMar>
        </w:tblPrEx>
        <w:trPr>
          <w:jc w:val="center"/>
        </w:trPr>
        <w:tc>
          <w:tcPr>
            <w:tcW w:w="7963" w:type="dxa"/>
            <w:tcBorders>
              <w:top w:val="single" w:color="auto" w:sz="4" w:space="0"/>
              <w:left w:val="single" w:color="auto" w:sz="4" w:space="0"/>
              <w:bottom w:val="single" w:color="auto" w:sz="4" w:space="0"/>
              <w:right w:val="single" w:color="auto" w:sz="4" w:space="0"/>
            </w:tcBorders>
          </w:tcPr>
          <w:p>
            <w:pPr>
              <w:ind w:firstLine="480"/>
              <w:rPr>
                <w:rFonts w:eastAsia="仿宋" w:cs="Times New Roman"/>
                <w:sz w:val="24"/>
                <w:szCs w:val="24"/>
              </w:rPr>
            </w:pPr>
            <w:r>
              <w:rPr>
                <w:rFonts w:hint="eastAsia" w:eastAsia="仿宋" w:cs="Times New Roman"/>
                <w:sz w:val="24"/>
                <w:szCs w:val="24"/>
              </w:rPr>
              <w:t>完善地表水自动化监测网络，新建31个地表水水质自动监测站，其中市控断面和姚江支流断面共11个，区控断面和城区内河共20个，实现地表水环境质量自动监测全覆盖。</w:t>
            </w:r>
          </w:p>
          <w:p>
            <w:pPr>
              <w:ind w:firstLine="480"/>
              <w:rPr>
                <w:rFonts w:eastAsia="仿宋" w:cs="Times New Roman"/>
                <w:sz w:val="24"/>
                <w:szCs w:val="24"/>
              </w:rPr>
            </w:pPr>
            <w:r>
              <w:rPr>
                <w:rFonts w:hint="eastAsia" w:eastAsia="仿宋" w:cs="Times New Roman"/>
                <w:sz w:val="24"/>
                <w:szCs w:val="24"/>
              </w:rPr>
              <w:t>高空瞭望可视化监控。江北区秸秆禁烧高空瞭望可视化监控是实施细颗粒物和臭氧“双控双减”的重点工程，通过现有的铁塔上安装摄像机来实现可视化监控，结合图像分析系统和只能监控预警平台组成高空瞭望可视化监控，主要监控秸秆、垃圾焚烧现象，能够提升前端精准发现问题能力。</w:t>
            </w:r>
          </w:p>
        </w:tc>
      </w:tr>
    </w:tbl>
    <w:p>
      <w:pPr>
        <w:spacing w:line="384" w:lineRule="auto"/>
        <w:ind w:firstLine="602" w:firstLineChars="200"/>
        <w:rPr>
          <w:rFonts w:cs="Times New Roman"/>
          <w:szCs w:val="28"/>
        </w:rPr>
      </w:pPr>
      <w:r>
        <w:rPr>
          <w:rFonts w:hint="eastAsia" w:cs="Times New Roman"/>
          <w:b/>
          <w:szCs w:val="28"/>
        </w:rPr>
        <w:t>提高生态环境信息化管理水平。</w:t>
      </w:r>
      <w:r>
        <w:rPr>
          <w:rFonts w:hint="eastAsia" w:cs="Times New Roman"/>
          <w:szCs w:val="28"/>
        </w:rPr>
        <w:t>创新生态环境监管执法与服务方式，开展企业环保码试点工作，推进排污许可证一证式管理应用。推动生态治理数字化转型，利用第二次全国污染源普查、排污许可证基础数据，将信息技术工具引入环境质量实时监控、污染源实时监控、生态环境监察与移动执法、本地环境管理数字化档案等方面，重构生态治理机制体制，逐步实现生态治理信息收集、反馈、沟通、决策处置的智能化。构建区域生态环境信息资源共享数据库，推动跨部门跨街道（镇）的生态环保信息互联互通。对接省生态环境保护综合协同管理平台，探索大数据、云计算、人工智能、物联网等新一代数字化技术在污染防治、执法监管、环境监测领域的应用。</w:t>
      </w:r>
    </w:p>
    <w:p>
      <w:pPr>
        <w:ind w:firstLine="560"/>
      </w:pPr>
    </w:p>
    <w:p>
      <w:pPr>
        <w:widowControl/>
        <w:ind w:firstLine="643"/>
        <w:jc w:val="left"/>
        <w:rPr>
          <w:rFonts w:cs="Times New Roman"/>
          <w:b/>
          <w:bCs/>
          <w:kern w:val="44"/>
          <w:sz w:val="32"/>
          <w:szCs w:val="44"/>
        </w:rPr>
      </w:pPr>
      <w:r>
        <w:rPr>
          <w:rFonts w:cs="Times New Roman"/>
          <w:b/>
          <w:bCs/>
          <w:kern w:val="44"/>
          <w:sz w:val="32"/>
          <w:szCs w:val="44"/>
        </w:rPr>
        <w:br w:type="page"/>
      </w:r>
    </w:p>
    <w:p>
      <w:pPr>
        <w:pStyle w:val="2"/>
      </w:pPr>
      <w:r>
        <w:rPr>
          <w:rFonts w:hint="eastAsia"/>
        </w:rPr>
        <w:t xml:space="preserve"> </w:t>
      </w:r>
      <w:bookmarkStart w:id="43" w:name="_Toc66031106"/>
      <w:r>
        <w:rPr>
          <w:rFonts w:hint="eastAsia"/>
        </w:rPr>
        <w:t>构筑绿色牢固的生态安全</w:t>
      </w:r>
      <w:bookmarkEnd w:id="43"/>
    </w:p>
    <w:p>
      <w:pPr>
        <w:pStyle w:val="3"/>
        <w:numPr>
          <w:ilvl w:val="0"/>
          <w:numId w:val="11"/>
        </w:numPr>
      </w:pPr>
      <w:bookmarkStart w:id="44" w:name="_Toc66031107"/>
      <w:r>
        <w:rPr>
          <w:rFonts w:hint="eastAsia"/>
        </w:rPr>
        <w:t>深化水生态环境保护</w:t>
      </w:r>
      <w:bookmarkEnd w:id="44"/>
    </w:p>
    <w:p>
      <w:pPr>
        <w:spacing w:line="384" w:lineRule="auto"/>
        <w:ind w:firstLine="602" w:firstLineChars="200"/>
      </w:pPr>
      <w:r>
        <w:rPr>
          <w:rFonts w:hint="eastAsia"/>
          <w:b/>
        </w:rPr>
        <w:t>加强水生态环境综合整治。</w:t>
      </w:r>
      <w:r>
        <w:rPr>
          <w:rFonts w:hint="eastAsia"/>
        </w:rPr>
        <w:t>深化“五水共治”行动，深入推进“污水零直排”建设，统筹水生态、水资源、水环境保护，强化工业、生活、农业污染控制。以“清澈见底”为治理目标，通过河道污染源排查、截污纳管、排污口整治、长效保洁等措施持续推进城市内河整治，每年完成生态清淤</w:t>
      </w:r>
      <w:r>
        <w:t>5万方</w:t>
      </w:r>
      <w:r>
        <w:rPr>
          <w:rFonts w:hint="eastAsia"/>
        </w:rPr>
        <w:t>，推进姚江农业公园村级河道、江北大河（二期）庄桥段、西护城河、封河等综合整治。到2</w:t>
      </w:r>
      <w:r>
        <w:t>025年完成</w:t>
      </w:r>
      <w:r>
        <w:rPr>
          <w:rFonts w:hint="eastAsia"/>
        </w:rPr>
        <w:t>2个“美丽河湖”创建，补齐防洪排涝短板、深化水美乡村建设、创新升级河（湖）长制2.0版本、实现河湖标准化管理，形成安全流畅、生态健康、水清景美、人文彰显、管护高效、人水和谐的美丽河湖新局面。</w:t>
      </w:r>
    </w:p>
    <w:p>
      <w:pPr>
        <w:spacing w:line="384" w:lineRule="auto"/>
        <w:ind w:firstLine="602" w:firstLineChars="200"/>
      </w:pPr>
      <w:r>
        <w:rPr>
          <w:b/>
        </w:rPr>
        <w:t>保障饮用水水源</w:t>
      </w:r>
      <w:r>
        <w:rPr>
          <w:rFonts w:hint="eastAsia"/>
          <w:b/>
        </w:rPr>
        <w:t>安全。</w:t>
      </w:r>
      <w:r>
        <w:rPr>
          <w:rFonts w:hint="eastAsia"/>
        </w:rPr>
        <w:t>开展姚江湾头与英雄水库饮用水水源地区整治专项行动，加强保护区内生活面源污染与农业面源污染的治理。202</w:t>
      </w:r>
      <w:r>
        <w:t>1</w:t>
      </w:r>
      <w:r>
        <w:rPr>
          <w:rFonts w:hint="eastAsia"/>
        </w:rPr>
        <w:t>年底前，全面完成全区“千吨万人”以上饮用水水源保护区勘界立标、物理隔离带建设、污染源整治及水质提升工程，切实消除饮用水源风险隐患。建立健全“社会重视、责任明晰、措施有效”的饮用水水源保护管理体制机制，确保饮用水水源水质稳定达标并持续改善。</w:t>
      </w:r>
    </w:p>
    <w:p>
      <w:pPr>
        <w:spacing w:line="384" w:lineRule="auto"/>
        <w:ind w:firstLine="602" w:firstLineChars="200"/>
      </w:pPr>
      <w:r>
        <w:rPr>
          <w:rFonts w:hint="eastAsia"/>
          <w:b/>
        </w:rPr>
        <w:t>强化工业污水综合防治。</w:t>
      </w:r>
      <w:r>
        <w:rPr>
          <w:rFonts w:hint="eastAsia"/>
        </w:rPr>
        <w:t>提升前洋经济开发区、慈城高新区、江北工业区水污染治理水平。对标“细、全、优、严”的新标准，高质量推进前洋经济开发区、慈城高新区、江北工业区“污水零直排区”建设，2022年底前，前洋经济开发区、慈城高新区、江北工业区完成“污水零直排区”建设，企业雨、污水收集系统完备，严格实行雨污分流，工业废水全收集全处理，重点企业废水预处理达标纳管。推广小微企业集聚模式，开展对水环境影响较大的“低小散”企业、加工点、作坊的专项整治行动，推动区域集聚化、企业生产清洁化、环保管理规范化、执法监管常态化。</w:t>
      </w:r>
    </w:p>
    <w:p>
      <w:pPr>
        <w:spacing w:line="384" w:lineRule="auto"/>
        <w:ind w:firstLine="602" w:firstLineChars="200"/>
      </w:pPr>
      <w:r>
        <w:rPr>
          <w:rFonts w:hint="eastAsia"/>
          <w:b/>
        </w:rPr>
        <w:t>实施水生态修复工程。</w:t>
      </w:r>
      <w:r>
        <w:rPr>
          <w:rFonts w:hint="eastAsia"/>
        </w:rPr>
        <w:t>结合河道整治、蓄滞空间、沿江引排泵站等传统防洪排涝工程建设，从“污染防控，引水活水、生态提升”三个层面，多措并举实施水生态环境治理，形成多要素系统融合发展、和谐长效的蓝绿水网，实现“有河有水”“有鱼有草”“人水和谐”，构建健康长效的水生态修复体系。通过浙东引水工程引水，姚江、慈江沿江泵站翻水活水、江北下沉式再生水厂尾水补充河道等一系列举措，确保平原河网年环境配水量1亿m</w:t>
      </w:r>
      <w:r>
        <w:rPr>
          <w:rFonts w:hint="eastAsia"/>
          <w:vertAlign w:val="superscript"/>
        </w:rPr>
        <w:t>3</w:t>
      </w:r>
      <w:r>
        <w:rPr>
          <w:rFonts w:hint="eastAsia"/>
        </w:rPr>
        <w:t>以上，慈江南岸活水引调覆盖率50%以上。重点针对江北万达、西大河等区域建立微循环系统，打造生态示范河道。</w:t>
      </w:r>
    </w:p>
    <w:p>
      <w:pPr>
        <w:pStyle w:val="3"/>
        <w:numPr>
          <w:ilvl w:val="0"/>
          <w:numId w:val="11"/>
        </w:numPr>
      </w:pPr>
      <w:bookmarkStart w:id="45" w:name="_Toc66031108"/>
      <w:r>
        <w:rPr>
          <w:rFonts w:hint="eastAsia"/>
        </w:rPr>
        <w:t>推进清新空气行动</w:t>
      </w:r>
      <w:bookmarkEnd w:id="45"/>
    </w:p>
    <w:p>
      <w:pPr>
        <w:spacing w:line="384" w:lineRule="auto"/>
        <w:ind w:firstLine="602" w:firstLineChars="200"/>
      </w:pPr>
      <w:r>
        <w:rPr>
          <w:rFonts w:hint="eastAsia"/>
          <w:b/>
        </w:rPr>
        <w:t>推进细颗粒物、臭氧“双控双减”。</w:t>
      </w:r>
      <w:r>
        <w:rPr>
          <w:rFonts w:hint="eastAsia"/>
        </w:rPr>
        <w:t>开展秋冬季大气细颗粒物污染专项整治，对工业企业、汽车维修行业、建筑施工、移动源、油品储运销、油烟等重点领域专项执法检查行动，监督企事业单位严格落实各项大气污染防控措施，确保各项措施落实到位，严格实施重污染天气应急预案。开展夏秋季大气臭氧污染综合治理攻坚行动，建立完善针对臭氧污染的应急减排清单，以宁波（江北）高新技术产业园区、江北工业区、甬江工业区、洪塘工业区、庄桥工业区等为重点，综合考虑气象条件、企业生产涉VOCs工艺特点和治理绩效，制定“一企一策”细化落实臭氧污染应急管控减排方案，实施分类分区、精准精细的强化减排措施，切实减轻O</w:t>
      </w:r>
      <w:r>
        <w:rPr>
          <w:vertAlign w:val="subscript"/>
        </w:rPr>
        <w:t>3</w:t>
      </w:r>
      <w:r>
        <w:rPr>
          <w:rFonts w:hint="eastAsia"/>
        </w:rPr>
        <w:t>污染天气VOCs排放负荷，实现O</w:t>
      </w:r>
      <w:r>
        <w:rPr>
          <w:vertAlign w:val="subscript"/>
        </w:rPr>
        <w:t>3</w:t>
      </w:r>
      <w:r>
        <w:rPr>
          <w:rFonts w:hint="eastAsia"/>
        </w:rPr>
        <w:t>污染高值时段“削峰”。</w:t>
      </w:r>
    </w:p>
    <w:p>
      <w:pPr>
        <w:spacing w:line="384" w:lineRule="auto"/>
        <w:ind w:firstLine="602" w:firstLineChars="200"/>
        <w:rPr>
          <w:b/>
        </w:rPr>
      </w:pPr>
      <w:r>
        <w:rPr>
          <w:rFonts w:hint="eastAsia"/>
          <w:b/>
        </w:rPr>
        <w:t>深化工业废气综合治理。</w:t>
      </w:r>
      <w:r>
        <w:rPr>
          <w:rFonts w:hint="eastAsia"/>
        </w:rPr>
        <w:t>坚持全面推进与突出重点相结合，大力加强源头控制，禁止建设生产和使用高VOCs含量的溶剂型涂料、油墨、胶粘剂等项目，推进低毒性、低挥发性、低VOCs含量、低反应活性、水性等环境友好型原辅料替代，推广使用低排放的生产工艺，推动企业清洁生产技术改造。全面推进宁波（江北）高新技术产业园区、江北工业区、甬江工业区、洪塘工业区、庄桥工业区大气污染源排查，建立健全并定期更新涉气污染源排放清单。开展“无异味”园区创建，全面落实“一厂一策”，提高企业废气收集率和排放达标率。依法依规全面整治“低散乱污”“两小”企业（行业），坚决杜绝“低散乱”企业项目异地转移、死灰复燃。</w:t>
      </w:r>
    </w:p>
    <w:p>
      <w:pPr>
        <w:spacing w:line="384" w:lineRule="auto"/>
        <w:ind w:firstLine="602" w:firstLineChars="200"/>
      </w:pPr>
      <w:r>
        <w:rPr>
          <w:rFonts w:hint="eastAsia"/>
          <w:b/>
        </w:rPr>
        <w:t>强化机动车污染治理。</w:t>
      </w:r>
      <w:r>
        <w:rPr>
          <w:rFonts w:hint="eastAsia"/>
        </w:rPr>
        <w:t>实施老旧车辆淘汰和限行政策，严格机动车排放控制，严格新车环保装置检验。开展柴油货车超标排放专项执法，建立完善排放检验与维护制度（I/M制度），严厉打击虚假维修行为。强化非道路移动机械管理，推进排放不达标工程机械清洁化改造和淘汰，推进高耗能农业机械报废和淘汰。</w:t>
      </w:r>
    </w:p>
    <w:p>
      <w:pPr>
        <w:spacing w:line="384" w:lineRule="auto"/>
        <w:ind w:firstLine="602" w:firstLineChars="200"/>
      </w:pPr>
      <w:r>
        <w:rPr>
          <w:rFonts w:hint="eastAsia"/>
          <w:b/>
        </w:rPr>
        <w:t>加强大气面源污染治理</w:t>
      </w:r>
      <w:r>
        <w:rPr>
          <w:rFonts w:hint="eastAsia"/>
        </w:rPr>
        <w:t>。按照江北特色“九个100%”要求持续深化扬尘综合治理，全面推进甬江北岸砂石渣土码头堆场、黄沙、泥浆扬尘综合整治。严格执行餐饮店铺“非禁止设置区”规定，严禁露天烧烤，持续推进农业源氨排放，落实属地镇、街道监管责任，加强重点区域巡查力度，遏制垃圾、秸秆露天焚烧，通过改善养殖场通风环境、化肥减量工程协同控制农业源氨排放。</w:t>
      </w:r>
    </w:p>
    <w:p>
      <w:pPr>
        <w:pStyle w:val="3"/>
        <w:numPr>
          <w:ilvl w:val="0"/>
          <w:numId w:val="11"/>
        </w:numPr>
      </w:pPr>
      <w:bookmarkStart w:id="46" w:name="_Toc66031109"/>
      <w:r>
        <w:rPr>
          <w:rFonts w:hint="eastAsia"/>
        </w:rPr>
        <w:t>强化土壤污染防治</w:t>
      </w:r>
      <w:bookmarkEnd w:id="46"/>
    </w:p>
    <w:p>
      <w:pPr>
        <w:spacing w:line="384" w:lineRule="auto"/>
        <w:ind w:firstLine="602" w:firstLineChars="200"/>
      </w:pPr>
      <w:r>
        <w:rPr>
          <w:rFonts w:hint="eastAsia"/>
          <w:b/>
        </w:rPr>
        <w:t>深化土壤污染源头防治。</w:t>
      </w:r>
      <w:r>
        <w:rPr>
          <w:rFonts w:hint="eastAsia"/>
        </w:rPr>
        <w:t>深度运用农用地详查数据成果，全面开展受污染耕地“源解析”，实施针对性污染减排和整治。以建设用地土壤国标85项污染物为重点，落实重点企业在新建项目、生产运营、设施拆除、终止生产等关键环节的土壤和地下水污染调查、监测、评估和管控要求，倒逼土地使用权人将防治土壤污染要求纳入生产经营的全过程。</w:t>
      </w:r>
    </w:p>
    <w:p>
      <w:pPr>
        <w:spacing w:line="384" w:lineRule="auto"/>
        <w:ind w:firstLine="602" w:firstLineChars="200"/>
      </w:pPr>
      <w:r>
        <w:rPr>
          <w:rFonts w:hint="eastAsia"/>
          <w:b/>
        </w:rPr>
        <w:t>抓好用地分类管控</w:t>
      </w:r>
      <w:r>
        <w:rPr>
          <w:rFonts w:hint="eastAsia"/>
        </w:rPr>
        <w:t>。实施农用地分类管理，做好受污染耕地安全利用和严格管控工作，对划分为严格管控类耕地，严禁种植可食用农产品，保障农业生产环境安全。强化建设用地土壤风险管控，完善建设用地开发利用联动监管制度，建立国土空间规划和污染地块一张图。依法开展用途变更地块开发现状和土壤污染状况调查，对列入污染地块名录、建设用地土壤污染风险管控和修复名录的地块，根据污染风险程度和后续用途，开展治理修复。2</w:t>
      </w:r>
      <w:r>
        <w:t>025年</w:t>
      </w:r>
      <w:r>
        <w:rPr>
          <w:rFonts w:hint="eastAsia"/>
        </w:rPr>
        <w:t>，</w:t>
      </w:r>
      <w:r>
        <w:t>用途变更为居住</w:t>
      </w:r>
      <w:r>
        <w:rPr>
          <w:rFonts w:hint="eastAsia"/>
        </w:rPr>
        <w:t>、</w:t>
      </w:r>
      <w:r>
        <w:t>公共管理与公共服务用地的土壤污染调查覆盖率达</w:t>
      </w:r>
      <w:r>
        <w:rPr>
          <w:rFonts w:hint="eastAsia"/>
        </w:rPr>
        <w:t>1</w:t>
      </w:r>
      <w:r>
        <w:t>00</w:t>
      </w:r>
      <w:r>
        <w:rPr>
          <w:rFonts w:hint="eastAsia"/>
        </w:rPr>
        <w:t>%。</w:t>
      </w:r>
    </w:p>
    <w:p>
      <w:pPr>
        <w:spacing w:line="384" w:lineRule="auto"/>
        <w:ind w:firstLine="602" w:firstLineChars="200"/>
      </w:pPr>
      <w:r>
        <w:rPr>
          <w:b/>
        </w:rPr>
        <w:t>开展土壤污染治理修复</w:t>
      </w:r>
      <w:r>
        <w:rPr>
          <w:rFonts w:hint="eastAsia"/>
          <w:b/>
        </w:rPr>
        <w:t>。</w:t>
      </w:r>
      <w:r>
        <w:rPr>
          <w:rFonts w:hint="eastAsia"/>
        </w:rPr>
        <w:t>因地制宜开展土壤污染治理修复，以影响农产品质量和人居环境安全的突出土壤污染问题为重点，制定实施耕地保护及受污染耕地治理、利用、管控方案。开展受污染耕地安全利用技术体系和应用模式示范推广，重点开展耕地土壤镉含量大于0.6 mg/kg及土壤汞含量大于１mg/kg种植水稻等粮食作物安全种植技术示范。深入开展农用地土壤超标点位“对账销号”行动，推进污染地块安全利用，按要求完成“对账销号”农产品协同检测任务。严格用地规划条件、收储、出让等环节的审查把关。以重金属污染土壤和化工污染土壤为主，开展典型区域污染土壤修复试点，对排放重金属企业实施名录管理，保持动态更新。</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217" w:type="dxa"/>
            <w:shd w:val="clear" w:color="auto" w:fill="FFFFFF"/>
            <w:vAlign w:val="center"/>
          </w:tcPr>
          <w:p>
            <w:pPr>
              <w:jc w:val="center"/>
              <w:rPr>
                <w:rFonts w:eastAsia="黑体" w:cs="Times New Roman"/>
                <w:sz w:val="24"/>
                <w:szCs w:val="24"/>
              </w:rPr>
            </w:pPr>
            <w:r>
              <w:rPr>
                <w:rFonts w:eastAsia="黑体" w:cs="Times New Roman"/>
                <w:sz w:val="24"/>
                <w:szCs w:val="24"/>
              </w:rPr>
              <w:t>专栏</w:t>
            </w:r>
            <w:r>
              <w:rPr>
                <w:rFonts w:hint="eastAsia" w:eastAsia="黑体" w:cs="Times New Roman"/>
                <w:sz w:val="24"/>
                <w:szCs w:val="24"/>
              </w:rPr>
              <w:t>：生态环境提升重大项目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trPr>
        <w:tc>
          <w:tcPr>
            <w:tcW w:w="8217" w:type="dxa"/>
          </w:tcPr>
          <w:p>
            <w:pPr>
              <w:snapToGrid w:val="0"/>
              <w:ind w:firstLine="480"/>
              <w:rPr>
                <w:rFonts w:ascii="仿宋" w:hAnsi="仿宋" w:eastAsia="仿宋" w:cs="Times New Roman"/>
                <w:sz w:val="24"/>
                <w:szCs w:val="24"/>
              </w:rPr>
            </w:pPr>
            <w:r>
              <w:rPr>
                <w:rFonts w:hint="eastAsia" w:ascii="仿宋" w:hAnsi="仿宋" w:eastAsia="仿宋" w:cs="Times New Roman"/>
                <w:sz w:val="24"/>
                <w:szCs w:val="24"/>
              </w:rPr>
              <w:t>（1）水环境综合治理。河道清淤、清水通换工程：每年完成生态清淤5万方，针对江北万达、西大河等区域建立微循环系统，打造生态示范河道。饮用水水源地规范化整治：英雄水库、姚江饮用水保护区勘界立标、物理隔离带建设、污染源整治工程。实施水环境治理与水生态修复工程，全域推广海绵城市建设，实施农村生活污水处置设施改造更新，2022年底基本完成工业园区（集聚区）“污水零直排”建设任务，高标准创建成为“污水零直排区”，基本完成排水许可证全覆盖</w:t>
            </w:r>
          </w:p>
          <w:p>
            <w:pPr>
              <w:snapToGrid w:val="0"/>
              <w:ind w:firstLine="480"/>
              <w:rPr>
                <w:rFonts w:eastAsia="楷体" w:cs="Times New Roman"/>
                <w:sz w:val="21"/>
                <w:szCs w:val="20"/>
              </w:rPr>
            </w:pPr>
            <w:r>
              <w:rPr>
                <w:rFonts w:hint="eastAsia" w:ascii="仿宋" w:hAnsi="仿宋" w:eastAsia="仿宋" w:cs="Times New Roman"/>
                <w:sz w:val="24"/>
                <w:szCs w:val="24"/>
              </w:rPr>
              <w:t>（2）大气环境综合整治：深化工业涂装、橡胶和塑料制品、包装印刷等重点行业废气深化治理，建设工程扬尘污染防治严格落实“九个100%”要求。</w:t>
            </w:r>
          </w:p>
        </w:tc>
      </w:tr>
    </w:tbl>
    <w:p>
      <w:pPr>
        <w:pStyle w:val="3"/>
        <w:numPr>
          <w:ilvl w:val="0"/>
          <w:numId w:val="11"/>
        </w:numPr>
      </w:pPr>
      <w:bookmarkStart w:id="47" w:name="_Toc66031110"/>
      <w:r>
        <w:rPr>
          <w:rFonts w:hint="eastAsia"/>
        </w:rPr>
        <w:t>开展“无废城市”创建</w:t>
      </w:r>
      <w:bookmarkEnd w:id="47"/>
    </w:p>
    <w:p>
      <w:pPr>
        <w:spacing w:line="384" w:lineRule="auto"/>
        <w:ind w:firstLine="602" w:firstLineChars="200"/>
      </w:pPr>
      <w:r>
        <w:rPr>
          <w:rFonts w:hint="eastAsia"/>
          <w:b/>
        </w:rPr>
        <w:t>启动全域“无废城市”建设。</w:t>
      </w:r>
      <w:r>
        <w:rPr>
          <w:rFonts w:hint="eastAsia"/>
        </w:rPr>
        <w:t>以创新、协调、绿色、开放、共享的新发展理念为引领，以固体废物减量化、资源化为重点，全面建设“全类型、全覆盖、全过程”的固体废物分类处置和资源化利用体系。以产废无增长、资源无浪费、设施无缺口、监管无盲区、保障无缺位、固废无倾倒、废水无直排、废气无臭味为目标，到2022年建成“源头管理精细化、贮存转运规范化、过程监控信息化、设施布局科学化、最终处置无害化”的无废城市。</w:t>
      </w:r>
    </w:p>
    <w:p>
      <w:pPr>
        <w:ind w:firstLine="560"/>
      </w:pPr>
      <w:r>
        <w:rPr>
          <w:rFonts w:hint="eastAsia"/>
          <w:b/>
        </w:rPr>
        <w:t>推进固体废物源头减量。</w:t>
      </w:r>
      <w:r>
        <w:rPr>
          <w:rFonts w:hint="eastAsia"/>
        </w:rPr>
        <w:t>持续推进固体废物“动态清零”，强化建筑垃圾堆场监管、不规范生活垃圾填埋场所排查，严格落实危险废物“动态清零”处置工作。大力推进农业固体废物减量，深入推进“肥药两制”改革，减少化肥、农药等农业投入品使用量及其废弃物产生量。加快形成绿色生活方式，积极推动绿色园区、绿色工厂、绿色供应链和绿色产品创建，推广使用可循环利用物品，限制一次性用品和塑料制品使用及供给。推进省级和国家级绿色商场创建工作；形成江北区绿色餐饮、绿色宾馆、绿色商场名单。</w:t>
      </w:r>
    </w:p>
    <w:p>
      <w:pPr>
        <w:ind w:firstLine="560"/>
      </w:pPr>
      <w:r>
        <w:rPr>
          <w:rFonts w:hint="eastAsia"/>
          <w:b/>
        </w:rPr>
        <w:t>加强固体废物分类收集。</w:t>
      </w:r>
      <w:r>
        <w:rPr>
          <w:rFonts w:hint="eastAsia"/>
        </w:rPr>
        <w:t>全面实施生活垃圾强制分类。全面推行精准化源头分类、专业化二次分拣、智能化高效清运、最大化资源利用、集中化统一处置的一般工业固体废物治理体系。以小微单元危险废物、高校、科研院所、检测机构实验室废弃物为重点，建立健全危险废物收集、贮存、转运网络体系建设。推广小箱进大箱回收医疗废物的做法，实现医疗废物集中收集网络体系全覆盖。到 2022 年，基本建成废弃产品逆向回收体系，危险废物收运体系基本覆盖全区街道（镇）以上工业园区和科研等行业，农业固体废物收储运体系覆盖率达到 100%。</w:t>
      </w:r>
    </w:p>
    <w:p>
      <w:pPr>
        <w:ind w:firstLine="560"/>
      </w:pPr>
      <w:r>
        <w:rPr>
          <w:rFonts w:hint="eastAsia"/>
          <w:b/>
        </w:rPr>
        <w:t>有效提升固体废物管理水平。</w:t>
      </w:r>
      <w:r>
        <w:rPr>
          <w:rFonts w:hint="eastAsia"/>
        </w:rPr>
        <w:t>推广应用固体废物管理信息系统，在工业固体废物、生活垃圾、建筑垃圾、农业废弃物、医疗废物等全领域实现电子化申报，推进跨部门、跨层级、跨领域的数据共享和平台互联互通。加快一般工业垃圾、危废收运体系建设，利用工业固废第三方转运体系建设，加大固体废物转运环节管控力度，严格执行固体废物转移交接记录制度，探索危险废物运输管理模式，强化运输过程二次污染风险防控。强化货运北站、九龙大道2座绿化植物废弃处置场所资源化利用。落实固体废物违法有奖举报制度，严厉打击固体废物非法转移、倾倒、处置等行为。到2022年，350家以上危险废物产生企业纳入监管信息系统，实现地方和国家信息互联互通。</w:t>
      </w:r>
    </w:p>
    <w:p>
      <w:pPr>
        <w:pStyle w:val="3"/>
        <w:numPr>
          <w:ilvl w:val="0"/>
          <w:numId w:val="11"/>
        </w:numPr>
      </w:pPr>
      <w:bookmarkStart w:id="48" w:name="_Toc66031111"/>
      <w:r>
        <w:rPr>
          <w:rFonts w:hint="eastAsia"/>
        </w:rPr>
        <w:t>加大生态系统保护</w:t>
      </w:r>
      <w:bookmarkEnd w:id="48"/>
    </w:p>
    <w:p>
      <w:pPr>
        <w:ind w:firstLine="560"/>
      </w:pPr>
      <w:r>
        <w:rPr>
          <w:rFonts w:hint="eastAsia"/>
          <w:b/>
        </w:rPr>
        <w:t>构筑牢固生态安全格局。</w:t>
      </w:r>
      <w:r>
        <w:rPr>
          <w:rFonts w:hint="eastAsia"/>
        </w:rPr>
        <w:t>结合东南部平原区和北部丘陵区的江南水乡特征及其城镇化发展，保护“山水林田湖”生命共同体的完整性，通过绿地、林地、农地、湿地、水面、道路绿化、水系绿化、生态原点等各种生态要素的有机整合，积极营建“田园环绕、水网渗透，绿城交融”的生态安全格局。</w:t>
      </w:r>
    </w:p>
    <w:p>
      <w:pPr>
        <w:ind w:firstLine="560"/>
      </w:pPr>
      <w:r>
        <w:rPr>
          <w:b/>
        </w:rPr>
        <w:t>加强生态环境风险防范</w:t>
      </w:r>
      <w:r>
        <w:rPr>
          <w:rFonts w:hint="eastAsia"/>
          <w:b/>
        </w:rPr>
        <w:t>。</w:t>
      </w:r>
      <w:r>
        <w:rPr>
          <w:rFonts w:hint="eastAsia"/>
        </w:rPr>
        <w:t>强化宝城电镀、三官堂油库重点领域环境风险排查，推动环境风险防控，由事后应急管理向全过程管控转变，进一步完善动态安全风险研判管控制度，督促企业开展全员、全过程、全方位、全天候的动态安全分险研判工作，把存在危险因素的场所、部位、环节作为风险辨识管控工作重点，将风险分级管控责任落实到岗、落实到人，全面防范环境风险。完善应急物资储备库、应急专家库建设，构建全过程、多层级生态环境风险防范体系，建立跨部门、跨区域环境应急协调联动机制，每年至少组织一次应急演练。</w:t>
      </w:r>
    </w:p>
    <w:p>
      <w:pPr>
        <w:ind w:firstLine="560"/>
      </w:pPr>
      <w:r>
        <w:rPr>
          <w:rFonts w:hint="eastAsia"/>
          <w:b/>
        </w:rPr>
        <w:t>实施重点区域生态保护。</w:t>
      </w:r>
      <w:r>
        <w:rPr>
          <w:rFonts w:hint="eastAsia"/>
        </w:rPr>
        <w:t>加强英雄水库饮用水源保护区、姚江湾头饮用水源保护区、保国寺文化遗产保护区、慈城水土保持区、城区河网绿带生态保障区、公路防护绿带生态保障区六大重要生态空间的保护，严格落实生态红线管控要求，实现“一条红线”管控重要生态空间，确保生态功能不降低、面积不减少、性质不改变。</w:t>
      </w:r>
    </w:p>
    <w:p>
      <w:pPr>
        <w:ind w:firstLine="560"/>
      </w:pPr>
      <w:r>
        <w:rPr>
          <w:rFonts w:hint="eastAsia"/>
          <w:b/>
        </w:rPr>
        <w:t>提升生物多样性保护水平。</w:t>
      </w:r>
      <w:r>
        <w:rPr>
          <w:rFonts w:hint="eastAsia"/>
        </w:rPr>
        <w:t>开展生物多样性调查、观测与评估工作，在2</w:t>
      </w:r>
      <w:r>
        <w:t>025年前完成区域生物多样性本地调查</w:t>
      </w:r>
      <w:r>
        <w:rPr>
          <w:rFonts w:hint="eastAsia"/>
        </w:rPr>
        <w:t>，</w:t>
      </w:r>
      <w:r>
        <w:t>探索开展生物多样性观测</w:t>
      </w:r>
      <w:r>
        <w:rPr>
          <w:rFonts w:hint="eastAsia"/>
        </w:rPr>
        <w:t>，</w:t>
      </w:r>
      <w:r>
        <w:t>建立生物多样性数据库</w:t>
      </w:r>
      <w:r>
        <w:rPr>
          <w:rFonts w:hint="eastAsia"/>
        </w:rPr>
        <w:t>。加强有害生物防控和转基因生物安全管理，巩固松材线虫病疫区撤销成果，加大一枝黄花等重大林业有害生物灾害的防控力度。立足生态系统平衡和公共卫生安全，严厉打击野生动物非法狩猎，依法查处野生动物及其制品非法收购、运输、出售等违规交易行为，保证生物安全。</w:t>
      </w:r>
    </w:p>
    <w:p>
      <w:pPr>
        <w:ind w:firstLine="560"/>
      </w:pPr>
    </w:p>
    <w:p>
      <w:pPr>
        <w:widowControl/>
        <w:ind w:firstLine="560"/>
        <w:jc w:val="left"/>
      </w:pPr>
      <w:r>
        <w:br w:type="page"/>
      </w:r>
    </w:p>
    <w:bookmarkEnd w:id="36"/>
    <w:p>
      <w:pPr>
        <w:pStyle w:val="2"/>
      </w:pPr>
      <w:r>
        <w:rPr>
          <w:rFonts w:hint="eastAsia"/>
        </w:rPr>
        <w:t xml:space="preserve"> </w:t>
      </w:r>
      <w:bookmarkStart w:id="49" w:name="_Toc66031112"/>
      <w:r>
        <w:t>布局</w:t>
      </w:r>
      <w:r>
        <w:rPr>
          <w:rFonts w:hint="eastAsia"/>
        </w:rPr>
        <w:t>集约高效的生态空间</w:t>
      </w:r>
      <w:bookmarkEnd w:id="49"/>
    </w:p>
    <w:p>
      <w:pPr>
        <w:pStyle w:val="3"/>
        <w:numPr>
          <w:ilvl w:val="0"/>
          <w:numId w:val="12"/>
        </w:numPr>
      </w:pPr>
      <w:bookmarkStart w:id="50" w:name="_Toc66031113"/>
      <w:r>
        <w:rPr>
          <w:rFonts w:hint="eastAsia"/>
        </w:rPr>
        <w:t>优化绿色空间格局</w:t>
      </w:r>
      <w:bookmarkEnd w:id="50"/>
    </w:p>
    <w:p>
      <w:pPr>
        <w:spacing w:line="384" w:lineRule="auto"/>
        <w:ind w:firstLine="600" w:firstLineChars="200"/>
      </w:pPr>
      <w:r>
        <w:rPr>
          <w:rFonts w:hint="eastAsia"/>
        </w:rPr>
        <w:t>按照推动城区内涵发展、紧密产城融合发展的要求，科学布局全区的生产空间、生活空间、生态空间，结合贯通高新区、投创园区、陆港园区和庄桥-洪塘工业集聚区创新转化与智能制造的产业发展格局，以宜居城区、慈城镇、北山地区、姚江农业区城镇化格局再塑造为重点，遵循翠屏山生态屏障区、姚江农业区、姚江-甬江生态走廊、庄桥大河生态走廊、东大河等河流建立的生态安全格局，打造土地空间高效利用、经济社会共同进步的“一带两轴三核四片”的空间布局，构筑定位清晰、功能互补、错位竞争、产城融合的“拥江发展引领区”。</w:t>
      </w:r>
    </w:p>
    <w:p>
      <w:pPr>
        <w:spacing w:line="384" w:lineRule="auto"/>
        <w:ind w:firstLine="602" w:firstLineChars="200"/>
      </w:pPr>
      <w:bookmarkStart w:id="51" w:name="_Hlk57640263"/>
      <w:r>
        <w:rPr>
          <w:rFonts w:hint="eastAsia"/>
          <w:b/>
        </w:rPr>
        <w:t>“一带”引领</w:t>
      </w:r>
      <w:r>
        <w:rPr>
          <w:rFonts w:hint="eastAsia"/>
        </w:rPr>
        <w:t>：沿甬江和姚江分别向东和向西延展至区界的“V”型滨江生态带。将姚江新城、核心滨水区、宁波文创港、老外滩国家级步行街、北高教园区等连点成片，充分发挥甬江和姚江滨水资源、交通区位等组合优势，打造“生产、生态、生活”三生融合、“宜居、宜业、宜游、宜文”四宜兼具的创新活力生态带。</w:t>
      </w:r>
      <w:bookmarkEnd w:id="51"/>
    </w:p>
    <w:p>
      <w:pPr>
        <w:spacing w:line="384" w:lineRule="auto"/>
        <w:ind w:firstLine="602" w:firstLineChars="200"/>
      </w:pPr>
      <w:r>
        <w:rPr>
          <w:rFonts w:hint="eastAsia"/>
          <w:b/>
        </w:rPr>
        <w:t>“两轴”带动：</w:t>
      </w:r>
      <w:r>
        <w:rPr>
          <w:rFonts w:hint="eastAsia"/>
          <w:bCs/>
        </w:rPr>
        <w:t>沿</w:t>
      </w:r>
      <w:r>
        <w:rPr>
          <w:rFonts w:hint="eastAsia"/>
        </w:rPr>
        <w:t>轨道交通4号线和2号线打造两条高质量发展生态轴。着重推进慈城新城、奥体北侧、远洲周边等轨道站点沿线TOD导向紧凑型、高密度开发，加快浙江前洋经济开发区、江北高新园区等重点功能片区转型升级，大力提升沿线片区风貌，提高沿线核心街区承载能力，打造最具活力的产城联动高质量发展动力轴。</w:t>
      </w:r>
    </w:p>
    <w:p>
      <w:pPr>
        <w:spacing w:line="384" w:lineRule="auto"/>
        <w:ind w:firstLine="602" w:firstLineChars="200"/>
      </w:pPr>
      <w:r>
        <w:rPr>
          <w:rFonts w:hint="eastAsia"/>
          <w:b/>
        </w:rPr>
        <w:t>“三核”引擎：</w:t>
      </w:r>
      <w:r>
        <w:rPr>
          <w:rFonts w:hint="eastAsia"/>
        </w:rPr>
        <w:t>聚焦“塑能中心城、崛起姚江城、复兴古县城”三大核心，优先布局高能级平台和重大功能性项目，提升区域宜居宜业宜游水平，融合带动周边组团开发建设，形成基础配套互联互通、功能布局错位互补、全域协调发展格局。</w:t>
      </w:r>
    </w:p>
    <w:p>
      <w:pPr>
        <w:spacing w:line="384" w:lineRule="auto"/>
        <w:ind w:firstLine="602" w:firstLineChars="200"/>
      </w:pPr>
      <w:r>
        <w:rPr>
          <w:rFonts w:hint="eastAsia"/>
          <w:b/>
        </w:rPr>
        <w:t>“四片”支撑：</w:t>
      </w:r>
      <w:r>
        <w:rPr>
          <w:rFonts w:hint="eastAsia"/>
        </w:rPr>
        <w:t>建设空间上相互呼应，功能上相互联动的国际滨水创意片、有机更新提升片、未来都市窗口片和生态休旅示范片四大片区。国际滨水创意片，通过三江口滨水区、湾头休闲商务区、甬江北岸区块，做强创新策源、高端商务、时尚休闲、开放交流等核心功能，打造宁波现代化国际大都市历史文化的魅力展示区和高尚人文休闲的中央活动区。有机更新提升片，全面推进老旧小区改造、小城镇环境综合治理、村庄梳理式整治等民生关切，港航物流、人力资源等优势服务业产业集群建设和新兴产业发展的功能再谋划、空间再梳理。未来都市窗口片，重点发展重点发展数字创新、高端智造、集成服务、生态文旅、运动休闲、赛事会展等特色功能，高水准打造宁波城市客厅、甬北交通枢纽、产城融合样板。生态休旅示范片，整合慈城古县城、保国寺、荪湖和毛岙、云湖、鞍山等生态人文和旅游资源，打造国家历史文化公园与浙东运河文化深度体验地。</w:t>
      </w:r>
    </w:p>
    <w:p>
      <w:pPr>
        <w:pStyle w:val="3"/>
        <w:numPr>
          <w:ilvl w:val="0"/>
          <w:numId w:val="12"/>
        </w:numPr>
      </w:pPr>
      <w:bookmarkStart w:id="52" w:name="_Toc66031114"/>
      <w:r>
        <w:rPr>
          <w:rFonts w:hint="eastAsia"/>
        </w:rPr>
        <w:t>统筹空间开发利用</w:t>
      </w:r>
      <w:bookmarkEnd w:id="52"/>
    </w:p>
    <w:p>
      <w:pPr>
        <w:spacing w:line="384" w:lineRule="auto"/>
        <w:ind w:firstLine="602" w:firstLineChars="200"/>
      </w:pPr>
      <w:r>
        <w:rPr>
          <w:rFonts w:hint="eastAsia"/>
          <w:b/>
        </w:rPr>
        <w:t>科学布局“三区三线”。</w:t>
      </w:r>
      <w:r>
        <w:rPr>
          <w:rFonts w:hint="eastAsia"/>
        </w:rPr>
        <w:t>深入贯彻主体功能区战略，结合国家、省、市重大发展方向和发展任务，统筹优化生态、农业、城镇空间的功能布局，完成《江北区国土空间总体规划（2020-2035年）》编制，推进多规合一。科学划定生态保护红线，建立生态保护红线地图及台账系统，摸清生态保护红线区自然资源底数；按照质量保障、集中连片、质量提升、田园景观、农耕文化等原则整合农业空间，划定永久基本农田保护红线；遵循控总量、盘存量、保重点、留弹性、优结构、提质效的思路划定城镇开发边界的集中建设区、弹性发展区和特别用途区等，重点推进宁波文创港、外滩时尚港、湾头休闲商务区、姚江新城、新兴产业育成区、庄桥站周边片区等区块的形态开发和功能建设，并优化提升慈城古县城、“保国寺-荪湖”区块、沿轨道站点城市组团三大成熟开发区域的主导功能。</w:t>
      </w:r>
    </w:p>
    <w:p>
      <w:pPr>
        <w:spacing w:line="384" w:lineRule="auto"/>
        <w:ind w:firstLine="602" w:firstLineChars="200"/>
        <w:rPr>
          <w:b/>
        </w:rPr>
      </w:pPr>
      <w:r>
        <w:rPr>
          <w:rFonts w:hint="eastAsia"/>
          <w:b/>
        </w:rPr>
        <w:t>有效管控空间开发</w:t>
      </w:r>
      <w:r>
        <w:rPr>
          <w:rFonts w:hint="eastAsia"/>
        </w:rPr>
        <w:t>。在政策制定、规划编制、执法监管中严格落实“三线一单”（生态保护红线、环境质量底线、资源利用上线和环境准入负面清单）生态环境分区管控方案，将“三线一单”作为区域资源开发、产业布局和结构调整、城乡建设、重大项目选址等重要依据。对照《生态保护红线监管指标体系（试行）》进行评估的同时，探索建立生态保护红线监管平台，全面掌握生态保护红线的生态系统构成、分布与动态变化，监控人为活动，及时预警生态风险。落实耕地保护责任，实现农业用地的监督管理信息化，强化执法巡查，严格保护未污染和轻微污染农用地，加强轻度和中度污染土地安全利用，重度污染农用地严禁种植食用农产品。</w:t>
      </w:r>
    </w:p>
    <w:p>
      <w:pPr>
        <w:spacing w:line="384" w:lineRule="auto"/>
        <w:ind w:firstLine="602" w:firstLineChars="200"/>
        <w:rPr>
          <w:bCs/>
        </w:rPr>
      </w:pPr>
      <w:r>
        <w:rPr>
          <w:rFonts w:hint="eastAsia"/>
          <w:b/>
        </w:rPr>
        <w:t>空间综合整治与修复。</w:t>
      </w:r>
      <w:r>
        <w:rPr>
          <w:rFonts w:hint="eastAsia"/>
          <w:bCs/>
        </w:rPr>
        <w:t>对山水林田湖草等各类自然生态要素进行保护和修复，提高社会—经济—自然复合生态系统弹性，全面提升区域生态安全屏障质量、促进生态系统良性循环和永续利用。重点加强英雄水库、毛力水库、五婆湖水库、荪湖水库、姜湖水库等重要水源地周围水土流失治理，以及坡度大于 25°的坡耕地和撂荒地等易灾地区的生态建设和生态修复，防止并减少森林土地退化。利用公园绿地和路网格局建设生态廊道，以高速公路、国道、省道为重点，完善绿色通道，引导生态系统服务流向主城区。按照优化乡村地区生产生活生态空间格局，实现生产空间集约高效、生活空间宜居适度、生态空间山清水秀的总体要求，全面完成乡村地区国土空间综合整治及生态修复工作。</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217" w:type="dxa"/>
            <w:shd w:val="clear" w:color="auto" w:fill="FFFFFF"/>
            <w:vAlign w:val="center"/>
          </w:tcPr>
          <w:p>
            <w:pPr>
              <w:jc w:val="center"/>
              <w:rPr>
                <w:rFonts w:eastAsia="黑体" w:cs="Times New Roman"/>
                <w:sz w:val="24"/>
                <w:szCs w:val="24"/>
              </w:rPr>
            </w:pPr>
            <w:r>
              <w:rPr>
                <w:rFonts w:eastAsia="黑体" w:cs="Times New Roman"/>
                <w:sz w:val="24"/>
                <w:szCs w:val="24"/>
              </w:rPr>
              <w:t>专栏</w:t>
            </w:r>
            <w:r>
              <w:rPr>
                <w:rFonts w:hint="eastAsia" w:eastAsia="黑体" w:cs="Times New Roman"/>
                <w:sz w:val="24"/>
                <w:szCs w:val="24"/>
              </w:rPr>
              <w:t>：重点开发建设区块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9" w:hRule="atLeast"/>
        </w:trPr>
        <w:tc>
          <w:tcPr>
            <w:tcW w:w="8217" w:type="dxa"/>
          </w:tcPr>
          <w:p>
            <w:pPr>
              <w:snapToGrid w:val="0"/>
              <w:ind w:firstLine="480"/>
              <w:rPr>
                <w:rFonts w:ascii="仿宋" w:hAnsi="仿宋" w:eastAsia="仿宋" w:cs="Times New Roman"/>
                <w:sz w:val="24"/>
                <w:szCs w:val="24"/>
              </w:rPr>
            </w:pPr>
            <w:r>
              <w:rPr>
                <w:rFonts w:hint="eastAsia" w:ascii="仿宋" w:hAnsi="仿宋" w:eastAsia="仿宋" w:cs="Times New Roman"/>
                <w:sz w:val="24"/>
                <w:szCs w:val="24"/>
              </w:rPr>
              <w:t>宁波文创港：重点发展创意设计、甬商创新总部、未来金融、IVD技术研发及MEMS传感器设计五大主导产业，打造城市建设的新地标、创新研发的新平台、都市经济的新引擎、百姓生活的新社区。</w:t>
            </w:r>
          </w:p>
          <w:p>
            <w:pPr>
              <w:snapToGrid w:val="0"/>
              <w:ind w:firstLine="480"/>
              <w:rPr>
                <w:rFonts w:ascii="仿宋" w:hAnsi="仿宋" w:eastAsia="仿宋" w:cs="Times New Roman"/>
                <w:sz w:val="24"/>
                <w:szCs w:val="24"/>
              </w:rPr>
            </w:pPr>
            <w:r>
              <w:rPr>
                <w:rFonts w:hint="eastAsia" w:ascii="仿宋" w:hAnsi="仿宋" w:eastAsia="仿宋" w:cs="Times New Roman"/>
                <w:sz w:val="24"/>
                <w:szCs w:val="24"/>
              </w:rPr>
              <w:t>姚江新城：重点集聚高端商务、展览赛事、生命健康等特色产业发展，加速推进未来社区、多学部国际学校、高端医疗设施、滨水活动空间和文体项目建设，致力打造宁波城市新客厅、未来产业新高地、品质生活新地标。</w:t>
            </w:r>
          </w:p>
          <w:p>
            <w:pPr>
              <w:snapToGrid w:val="0"/>
              <w:ind w:firstLine="480"/>
              <w:rPr>
                <w:rFonts w:ascii="仿宋" w:hAnsi="仿宋" w:eastAsia="仿宋" w:cs="Times New Roman"/>
                <w:sz w:val="24"/>
                <w:szCs w:val="24"/>
              </w:rPr>
            </w:pPr>
            <w:r>
              <w:rPr>
                <w:rFonts w:hint="eastAsia" w:ascii="仿宋" w:hAnsi="仿宋" w:eastAsia="仿宋" w:cs="Times New Roman"/>
                <w:sz w:val="24"/>
                <w:szCs w:val="24"/>
              </w:rPr>
              <w:t>慈城古县城：以创建国家级文旅融合示范区和实施“千年古城复兴”行动为抓手，加快公共服务配套及商业广场、高端酒店等功能性项目建设，加快打造文化彰显、产业强劲、开放包容、生态优美的“江南千年古县名城”。</w:t>
            </w:r>
          </w:p>
          <w:p>
            <w:pPr>
              <w:snapToGrid w:val="0"/>
              <w:ind w:firstLine="480"/>
              <w:rPr>
                <w:rFonts w:eastAsia="楷体" w:cs="Times New Roman"/>
                <w:sz w:val="21"/>
                <w:szCs w:val="20"/>
              </w:rPr>
            </w:pPr>
            <w:r>
              <w:rPr>
                <w:rFonts w:hint="eastAsia" w:ascii="仿宋" w:hAnsi="仿宋" w:eastAsia="仿宋" w:cs="Times New Roman"/>
                <w:sz w:val="24"/>
                <w:szCs w:val="24"/>
              </w:rPr>
              <w:t>“保国寺-荪湖”区块：重点发展智力运动、休闲度假、文化旅游、观光农业、健康养老等产业，积极导入重大功能性和配套项目，联动洪塘湾片区创意空间和农文旅项目，打造全域美丽、宜居宜游新胜景。</w:t>
            </w:r>
          </w:p>
        </w:tc>
      </w:tr>
    </w:tbl>
    <w:p>
      <w:pPr>
        <w:pStyle w:val="3"/>
        <w:numPr>
          <w:ilvl w:val="0"/>
          <w:numId w:val="12"/>
        </w:numPr>
      </w:pPr>
      <w:bookmarkStart w:id="53" w:name="_Toc66031115"/>
      <w:r>
        <w:rPr>
          <w:rFonts w:hint="eastAsia"/>
        </w:rPr>
        <w:t>推进河湖岸线保护</w:t>
      </w:r>
      <w:bookmarkEnd w:id="53"/>
    </w:p>
    <w:p>
      <w:pPr>
        <w:spacing w:line="384" w:lineRule="auto"/>
        <w:ind w:firstLine="602" w:firstLineChars="200"/>
      </w:pPr>
      <w:r>
        <w:rPr>
          <w:rFonts w:hint="eastAsia"/>
          <w:b/>
          <w:bCs/>
        </w:rPr>
        <w:t>编制水域保护规划。</w:t>
      </w:r>
      <w:r>
        <w:rPr>
          <w:rFonts w:hint="eastAsia"/>
          <w:color w:val="333333"/>
          <w:shd w:val="clear" w:color="auto" w:fill="FFFFFF"/>
        </w:rPr>
        <w:t>根据国家批准的流域综合规划、流域防洪规划、水资源保护规划、采砂管理规划、岸线利用管理规划等重要规划，</w:t>
      </w:r>
      <w:r>
        <w:rPr>
          <w:rFonts w:hint="eastAsia"/>
        </w:rPr>
        <w:t>在全面掌握河流岸线现状资源条件的基础上，利用运用生态学、景观学、社会经济学和城乡规划学相关原理，从防洪排涝、安全稳定、生态健康、景观适宜等方面，对河流岸线形态、控制范围、功能区布局进行科学规划，确定适宜的资源保护与开发利用措施，提出岸线保护、利用、修复的模式、方案、技术要求和管控机制，完成《江北区水域保护规划》编制，从而全面发挥岸线的综合功能，促进社会经济与资源环境的协调发展。落实水域岸线用途管制，与水功能区划相衔接，将水域岸线按规划划分为保护区、保留区、限制开发区、开发利用区，严格分区管理，加强河湖水域岸线管理保护，加大河湖岸线空间管控力度。</w:t>
      </w:r>
    </w:p>
    <w:p>
      <w:pPr>
        <w:ind w:firstLine="602" w:firstLineChars="200"/>
      </w:pPr>
      <w:r>
        <w:rPr>
          <w:rFonts w:hint="eastAsia"/>
          <w:b/>
          <w:bCs/>
        </w:rPr>
        <w:t>加强河湖岸线执法监督。</w:t>
      </w:r>
      <w:r>
        <w:rPr>
          <w:rFonts w:hint="eastAsia"/>
        </w:rPr>
        <w:t>积极运用遥感、空间定位、卫星航片、视频监控等科技手段，对重点河湖、水域岸线、河道采砂进行动态监控，及时发现围垦河湖、侵占岸线、非法设障、水域变化、非法采砂等情况，为河湖管理和行政执法提供技术支撑。全面建立河湖执法巡查制度，建立执法台账，建立排查、分析、整治、督办、销号机制，实现面源污染常态化整治。以规范涉水工业污染源监管为核心，开展专项执法行动，严打违法排污行为，对重大河湖违法行为全部立案查处。建立健全河道治理、岸线利用与保护相结合的机制，制定配套的河道管理实施办法。加强宣传，提高干部及群众的水面、岸线利用保护意识。</w:t>
      </w:r>
    </w:p>
    <w:p>
      <w:pPr>
        <w:widowControl/>
        <w:jc w:val="left"/>
      </w:pPr>
      <w:r>
        <w:br w:type="page"/>
      </w:r>
    </w:p>
    <w:p>
      <w:pPr>
        <w:pStyle w:val="2"/>
        <w:rPr>
          <w:rFonts w:eastAsia="仿宋_GB2312"/>
        </w:rPr>
      </w:pPr>
      <w:r>
        <w:rPr>
          <w:rFonts w:hint="eastAsia" w:eastAsia="仿宋_GB2312"/>
        </w:rPr>
        <w:t xml:space="preserve"> </w:t>
      </w:r>
      <w:bookmarkStart w:id="54" w:name="_Toc66031116"/>
      <w:r>
        <w:rPr>
          <w:rFonts w:hint="eastAsia" w:eastAsia="仿宋_GB2312"/>
        </w:rPr>
        <w:t>发展低碳循环的生态经济</w:t>
      </w:r>
      <w:bookmarkEnd w:id="54"/>
    </w:p>
    <w:p>
      <w:pPr>
        <w:pStyle w:val="3"/>
        <w:numPr>
          <w:ilvl w:val="0"/>
          <w:numId w:val="13"/>
        </w:numPr>
      </w:pPr>
      <w:bookmarkStart w:id="55" w:name="_Toc57200899"/>
      <w:bookmarkStart w:id="56" w:name="_Toc66031117"/>
      <w:r>
        <w:rPr>
          <w:rFonts w:hint="eastAsia"/>
        </w:rPr>
        <w:t>推进</w:t>
      </w:r>
      <w:r>
        <w:t>先进制造业</w:t>
      </w:r>
      <w:bookmarkEnd w:id="55"/>
      <w:r>
        <w:rPr>
          <w:rFonts w:hint="eastAsia"/>
        </w:rPr>
        <w:t>高质量</w:t>
      </w:r>
      <w:r>
        <w:t>发展</w:t>
      </w:r>
      <w:bookmarkEnd w:id="56"/>
    </w:p>
    <w:p>
      <w:pPr>
        <w:spacing w:line="384" w:lineRule="auto"/>
        <w:ind w:firstLine="602" w:firstLineChars="200"/>
      </w:pPr>
      <w:r>
        <w:rPr>
          <w:rFonts w:hint="eastAsia"/>
          <w:b/>
        </w:rPr>
        <w:t>拓展制造产业发展空间。</w:t>
      </w:r>
      <w:r>
        <w:rPr>
          <w:rFonts w:hint="eastAsia"/>
        </w:rPr>
        <w:t>有序推进江北高新园二期建设和工业区“二次开发”，深入盘活低效闲置工业用地，支持企业通过增容减绿、厂房加层等方式，推进工业低效用地利用开发。着力淘汰落后产能，加强低效倒逼腾退，开展持续性、多方位的联合执法，加强企业分类结果应用，不断挤压低效地块生存空间，为后续工业空间拓展和项目进驻提供空间资源支持。强化工业用地保护，确保区内工业用地规模，深化工业低产地块改造，探索工业用地容积率提升和绿化用地区域统筹平衡机制，合理分配用地指标，扩大新兴产业用地规模。</w:t>
      </w:r>
    </w:p>
    <w:p>
      <w:pPr>
        <w:spacing w:line="384" w:lineRule="auto"/>
        <w:ind w:firstLine="602" w:firstLineChars="200"/>
      </w:pPr>
      <w:r>
        <w:rPr>
          <w:b/>
        </w:rPr>
        <w:t>构建</w:t>
      </w:r>
      <w:r>
        <w:rPr>
          <w:rFonts w:hint="eastAsia"/>
          <w:b/>
        </w:rPr>
        <w:t>“4+</w:t>
      </w:r>
      <w:r>
        <w:rPr>
          <w:b/>
        </w:rPr>
        <w:t>1</w:t>
      </w:r>
      <w:r>
        <w:rPr>
          <w:rFonts w:hint="eastAsia"/>
          <w:b/>
        </w:rPr>
        <w:t>”先进制造业集群。</w:t>
      </w:r>
      <w:r>
        <w:rPr>
          <w:rFonts w:hint="eastAsia"/>
        </w:rPr>
        <w:t>以建设“中国制造2025”试点示范城市为契机，形成以新材料、高端装备、汽车零部件、软件与新兴服务业四个百亿级产业集群，打造“4+1”产业集聚的都市工业发展格局。构建以城市绿色矿产示范基地和光电新材料高新技术产业园为主要载体的新材料产业集群，推动新材料产业形成创新体系完备、区域布局合理、上下游协同的发展格局，成为全区经济增长的重要支撑；构建以高新园和投资创业中心为主要载体的高端装备产业集群，推动装备制造工艺技术、核心控制系统等高端突破，努力打造宁波重要的成套装备和智能装备制造基地及研发中心；构建以投资创业中心为主要载体的汽车零部件产业集群，打造成为国内重要的高端汽车关键零部件产业基地；构建以智联网、传感器、工业软件为主攻方向的发展软件与新兴服务产业, 推进建设宁波市工业物联网特色产业园，打造集产学研为一体、规模化发展的产业集群。培育一批新兴前沿产业集群，依托中科院计算机所宁波创新中心等平台，谋划形成5G产业链，打造5G先行示范区；实施“星链江北”行动计划，努力打造成为全市空间信息产业化应用先行区；培育发展生命健康产业，重点发展和突破新型药物和新型医疗器械制造，推进科研成果在江北转化，打造江北都市制造新增长点。</w:t>
      </w:r>
    </w:p>
    <w:p>
      <w:pPr>
        <w:spacing w:line="384" w:lineRule="auto"/>
        <w:ind w:firstLine="602" w:firstLineChars="200"/>
      </w:pPr>
      <w:r>
        <w:rPr>
          <w:rFonts w:hint="eastAsia"/>
          <w:b/>
        </w:rPr>
        <w:t>打造“3+X”都市智造集聚平台。</w:t>
      </w:r>
      <w:r>
        <w:rPr>
          <w:rFonts w:hint="eastAsia"/>
        </w:rPr>
        <w:t>在宁波电商经济创新园区、前洋经济开发区、江北工业区、宁波（江北）高新技术产业园为开展“平台提级”攻坚行动，努力打造成为全市乃至全省具有较强影响力、竞争力、辐射力的产业经济和城市经济的重要引擎。以前洋经济开发区为核心，重点发展汽车零部件、智能系统与终端、工业互联网及软件、数字文创等产业，聚力打造江北都市工业核心区；以省级光电新材料高新技术产业园区为基础，重点发展膜材料、高端装备等高新技术产业，重点打造高新技术产业高地；以荣吉西路两侧片区为核心，重点发展生命健康、智能系统与终端、5G+产业等新兴制造业，打造高新技术成果转化等功能性平台；以甬江、庄桥、洪塘、慈城等街道传统工业园区为核心，对照创建特色小镇和打造小微产业园区为标准，通过转型升级打造产业导向明晰的集聚平台。</w:t>
      </w:r>
    </w:p>
    <w:p>
      <w:pPr>
        <w:spacing w:line="384" w:lineRule="auto"/>
        <w:ind w:firstLine="600" w:firstLineChars="200"/>
      </w:pPr>
    </w:p>
    <w:p>
      <w:pPr>
        <w:pStyle w:val="3"/>
        <w:numPr>
          <w:ilvl w:val="0"/>
          <w:numId w:val="13"/>
        </w:numPr>
      </w:pPr>
      <w:bookmarkStart w:id="57" w:name="_Toc66031118"/>
      <w:r>
        <w:rPr>
          <w:rFonts w:hint="eastAsia"/>
        </w:rPr>
        <w:t>推进生态农业高质量发展</w:t>
      </w:r>
      <w:bookmarkEnd w:id="57"/>
    </w:p>
    <w:p>
      <w:pPr>
        <w:spacing w:line="384" w:lineRule="auto"/>
        <w:ind w:firstLine="602" w:firstLineChars="200"/>
      </w:pPr>
      <w:r>
        <w:rPr>
          <w:rFonts w:hint="eastAsia"/>
          <w:b/>
        </w:rPr>
        <w:t>打造绿色品质农业</w:t>
      </w:r>
      <w:r>
        <w:rPr>
          <w:rFonts w:hint="eastAsia"/>
        </w:rPr>
        <w:t>。深化农业供给侧结构性改革，提高农业综合生产能力，保障国家粮食安全和重要农产品有效供给。实施“藏粮于地、藏粮于技”战略，稳面积、提产量、增效益，推进粮食绿色高产优质化工程，促进地产稻米品牌化。坚持以标准化、绿色化、循环化、规模化、数字化、基地化为引领，统筹推进奶牛产业提档升级。到2025年，建设2个粮食绿色高产示范基地、1个优质稻米示范基地，1个放心蔬菜保供基地。</w:t>
      </w:r>
    </w:p>
    <w:p>
      <w:pPr>
        <w:spacing w:line="384" w:lineRule="auto"/>
        <w:ind w:firstLine="602" w:firstLineChars="200"/>
      </w:pPr>
      <w:r>
        <w:rPr>
          <w:rFonts w:hint="eastAsia"/>
          <w:b/>
        </w:rPr>
        <w:t>打通农业品牌双循环。</w:t>
      </w:r>
      <w:r>
        <w:rPr>
          <w:rFonts w:hint="eastAsia"/>
        </w:rPr>
        <w:t>以精品化、特色化为导向，通过电子营销、节庆经济、新农民培训、多主体培育等多重方式和手段，依托“江北农好”区域品牌管理体系，做强“年糕、盆景”两大农产品品牌。积极推广“订单种植、保底收购”“企业+基地+合作社（农户）”和农超农贸无缝对接的模式，做强“内循环”，依托互联网平台，联合快递物流，建立健全营销体系，鼓励农业企业“走出去”融入全球农产品供应链，拓宽“外循环”。到2025年，建设农产品集中加工示范园区1个，建成微型盆景示范园区1个，省级农产品出口示范基地1个。</w:t>
      </w:r>
    </w:p>
    <w:p>
      <w:pPr>
        <w:spacing w:line="384" w:lineRule="auto"/>
        <w:ind w:firstLine="602" w:firstLineChars="200"/>
      </w:pPr>
      <w:r>
        <w:rPr>
          <w:rFonts w:hint="eastAsia"/>
          <w:b/>
        </w:rPr>
        <w:t>培育新型农业产业体系。</w:t>
      </w:r>
      <w:r>
        <w:rPr>
          <w:rFonts w:hint="eastAsia"/>
        </w:rPr>
        <w:t>推广农业物联网技术，在精品果蔬、微型盆景、精致稻米等江北特色领域建设农业物联网区域的试验工程区，进行物联网技术的全程示范应用。构建以宁慈公路乡村产业带，压赛、洪塘区域为核心的城镇周边和以甬江工业园区、慈城新华工业园为核心的工业园区周边“一带二周边”的农村产业发展布局，打造农村新型产业集聚区。以“整治提升村级物业，盘活利用村庄闲置住宅及工业集聚区厂房，引入办公、商贸等业态，发展壮大集体经济，持续增加农民收入”为核心，充分发挥城郊优势和城镇节点作用，统筹推进“二周边”区域产业布局，打造农村集体经济发展新动能。</w:t>
      </w:r>
    </w:p>
    <w:p>
      <w:pPr>
        <w:pStyle w:val="3"/>
        <w:numPr>
          <w:ilvl w:val="0"/>
          <w:numId w:val="13"/>
        </w:numPr>
      </w:pPr>
      <w:bookmarkStart w:id="58" w:name="_Toc66031119"/>
      <w:r>
        <w:rPr>
          <w:rFonts w:hint="eastAsia"/>
        </w:rPr>
        <w:t>推进现代服务业高质量发展</w:t>
      </w:r>
      <w:bookmarkEnd w:id="58"/>
    </w:p>
    <w:p>
      <w:pPr>
        <w:spacing w:line="384" w:lineRule="auto"/>
        <w:ind w:firstLine="602" w:firstLineChars="200"/>
      </w:pPr>
      <w:r>
        <w:rPr>
          <w:rFonts w:hint="eastAsia"/>
          <w:b/>
        </w:rPr>
        <w:t>巩固提升基础服务业。</w:t>
      </w:r>
      <w:r>
        <w:rPr>
          <w:rFonts w:hint="eastAsia"/>
        </w:rPr>
        <w:t>提质发展现代商贸业，紧抓宁波市创建“数字贸易国际枢纽港”契机，依托电商经济创新园、电商物流园区、姚江北岸拓展区等区块，构建宁波数字贸易跨境服务集聚区。提质发展金融服务业，贯彻落实宁波市国家保险创新综合试验区建设，依托泛老外滩金融保险创新港，巩固提升以证券、保险、基金、信托为重点的基础性行业，积极抢抓宁波市创国家文化与金融合作示范区契机，研发“文创+保险”、“旅游+保险”、“文保+保险”等新型产品，推动保险业创新发展。集聚发展专业服务业，以文创港开发建设为重要契机，依托宁波大学、宁波工程学院等区域内科研资源，培育市场化的科技服务机构、新型研发组织和龙头企业，深化发展软件与信息服务业，利用软件信息产业助推先进制造业与现代服务业深度融合，全面提升中介服务业，加快形成行业门类齐全、专业结构优化、国际化水平高、辐射带动能力强的中介服务体系。</w:t>
      </w:r>
    </w:p>
    <w:p>
      <w:pPr>
        <w:spacing w:line="384" w:lineRule="auto"/>
        <w:ind w:firstLine="602" w:firstLineChars="200"/>
        <w:rPr>
          <w:b/>
        </w:rPr>
      </w:pPr>
      <w:r>
        <w:rPr>
          <w:b/>
        </w:rPr>
        <w:t>聚力发展特色服务业</w:t>
      </w:r>
      <w:r>
        <w:rPr>
          <w:rFonts w:hint="eastAsia"/>
          <w:b/>
        </w:rPr>
        <w:t>。</w:t>
      </w:r>
      <w:r>
        <w:rPr>
          <w:rFonts w:hint="eastAsia"/>
        </w:rPr>
        <w:t>充分发挥中心城区区位优势，加大力度汇聚各类高端要素和专业人才。发展以人力资源服务、产学研合作平台为核心的人力资源产业；依托北岸财富中心、宁波绿地中心，聚焦企业总部化发展，提升现代港航服务业；以文创港为核心，构建文化创意和科教创智产业链，夯实宁波音乐港、外滩时尚港产业基础发展文化创意产业；依托老外滩、古县城、洪塘多彩构筑小镇，发挥古镇秀水、田园风光、运河风貌等特色优势，发展健康休闲产业。</w:t>
      </w:r>
    </w:p>
    <w:p>
      <w:pPr>
        <w:spacing w:line="384" w:lineRule="auto"/>
        <w:ind w:firstLine="602" w:firstLineChars="200"/>
      </w:pPr>
      <w:r>
        <w:rPr>
          <w:rFonts w:hint="eastAsia"/>
          <w:b/>
        </w:rPr>
        <w:t>打造的服务业集聚平台。</w:t>
      </w:r>
      <w:r>
        <w:rPr>
          <w:rFonts w:hint="eastAsia"/>
        </w:rPr>
        <w:t>高标准布局现代服务业聚集平台，以文创港、宁波电商经济创新园区、港口经济圈航运总部基地为核心，示范带动全区服务集聚平台建设，重点打造电商物流中心、滨江生命健康医疗中心、姚江农业园服务平台，优化提升外滩金融历史文化街区、保国寺荪湖旅游度假区、慈城古县城服务平台，分类分层打造现代服务业集聚区。</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217" w:type="dxa"/>
            <w:shd w:val="clear" w:color="auto" w:fill="FFFFFF"/>
            <w:vAlign w:val="center"/>
          </w:tcPr>
          <w:p>
            <w:pPr>
              <w:jc w:val="center"/>
              <w:rPr>
                <w:rFonts w:eastAsia="黑体" w:cs="Times New Roman"/>
                <w:sz w:val="24"/>
                <w:szCs w:val="24"/>
              </w:rPr>
            </w:pPr>
            <w:r>
              <w:rPr>
                <w:rFonts w:eastAsia="黑体" w:cs="Times New Roman"/>
                <w:sz w:val="24"/>
                <w:szCs w:val="24"/>
              </w:rPr>
              <w:t>专栏</w:t>
            </w:r>
            <w:r>
              <w:rPr>
                <w:rFonts w:hint="eastAsia" w:eastAsia="黑体" w:cs="Times New Roman"/>
                <w:sz w:val="24"/>
                <w:szCs w:val="24"/>
              </w:rPr>
              <w:t>：重点产业集聚平台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217" w:type="dxa"/>
          </w:tcPr>
          <w:p>
            <w:pPr>
              <w:widowControl/>
              <w:autoSpaceDE w:val="0"/>
              <w:snapToGrid w:val="0"/>
              <w:spacing w:before="46" w:beforeLines="15" w:line="360" w:lineRule="exact"/>
              <w:jc w:val="left"/>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提升两大省级园区能级</w:t>
            </w:r>
          </w:p>
          <w:p>
            <w:pPr>
              <w:snapToGrid w:val="0"/>
              <w:ind w:firstLine="480"/>
              <w:rPr>
                <w:rFonts w:ascii="仿宋" w:hAnsi="仿宋" w:eastAsia="仿宋" w:cs="Times New Roman"/>
                <w:sz w:val="24"/>
                <w:szCs w:val="24"/>
              </w:rPr>
            </w:pPr>
            <w:r>
              <w:rPr>
                <w:rFonts w:hint="eastAsia" w:ascii="仿宋" w:hAnsi="仿宋" w:eastAsia="仿宋" w:cs="Times New Roman"/>
                <w:b/>
                <w:sz w:val="24"/>
                <w:szCs w:val="24"/>
              </w:rPr>
              <w:t>浙江前洋经济开发区：</w:t>
            </w:r>
            <w:r>
              <w:rPr>
                <w:rFonts w:hint="eastAsia" w:ascii="仿宋" w:hAnsi="仿宋" w:eastAsia="仿宋" w:cs="Times New Roman"/>
                <w:sz w:val="24"/>
                <w:szCs w:val="24"/>
              </w:rPr>
              <w:t>以电商经济和数字经济为引领，重点发展产业互联网以及汽车零部件、智能系统与终端、工业物联网等业态，提高前洋E商小镇发展能级，深度破题“二次开发”实现路径，加快打造产城融合发展实践样板。</w:t>
            </w:r>
          </w:p>
          <w:p>
            <w:pPr>
              <w:snapToGrid w:val="0"/>
              <w:ind w:firstLine="480"/>
              <w:rPr>
                <w:rFonts w:ascii="仿宋" w:hAnsi="仿宋" w:eastAsia="仿宋" w:cs="Times New Roman"/>
                <w:sz w:val="24"/>
                <w:szCs w:val="24"/>
              </w:rPr>
            </w:pPr>
            <w:r>
              <w:rPr>
                <w:rFonts w:hint="eastAsia" w:ascii="仿宋" w:hAnsi="仿宋" w:eastAsia="仿宋" w:cs="Times New Roman"/>
                <w:b/>
                <w:sz w:val="24"/>
                <w:szCs w:val="24"/>
              </w:rPr>
              <w:t>江北高新园区：</w:t>
            </w:r>
            <w:r>
              <w:rPr>
                <w:rFonts w:hint="eastAsia" w:ascii="仿宋" w:hAnsi="仿宋" w:eastAsia="仿宋" w:cs="Times New Roman"/>
                <w:sz w:val="24"/>
                <w:szCs w:val="24"/>
              </w:rPr>
              <w:t>重点发展新材料、高端装备制造、高端汽车零部件和生物医药等产业，以深化“国家城市矿产示范基地”建设和打造“中国膜都”为抓手，推动优势产业链延链强链，打造江北都市工业发展重要磁极。</w:t>
            </w:r>
          </w:p>
          <w:p>
            <w:pPr>
              <w:widowControl/>
              <w:autoSpaceDE w:val="0"/>
              <w:snapToGrid w:val="0"/>
              <w:spacing w:before="46" w:beforeLines="15" w:line="360" w:lineRule="exact"/>
              <w:jc w:val="left"/>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优化现代服务业重点集聚平台</w:t>
            </w:r>
          </w:p>
          <w:p>
            <w:pPr>
              <w:snapToGrid w:val="0"/>
              <w:ind w:firstLine="480"/>
              <w:rPr>
                <w:rFonts w:ascii="仿宋" w:hAnsi="仿宋" w:eastAsia="仿宋" w:cs="Times New Roman"/>
                <w:sz w:val="24"/>
                <w:szCs w:val="24"/>
              </w:rPr>
            </w:pPr>
            <w:r>
              <w:rPr>
                <w:rFonts w:hint="eastAsia" w:ascii="仿宋" w:hAnsi="仿宋" w:eastAsia="仿宋" w:cs="Times New Roman"/>
                <w:b/>
                <w:sz w:val="24"/>
                <w:szCs w:val="24"/>
              </w:rPr>
              <w:t>宁波港口经济圈航运总部基地：</w:t>
            </w:r>
            <w:r>
              <w:rPr>
                <w:rFonts w:hint="eastAsia" w:ascii="仿宋" w:hAnsi="仿宋" w:eastAsia="仿宋" w:cs="Times New Roman"/>
                <w:sz w:val="24"/>
                <w:szCs w:val="24"/>
              </w:rPr>
              <w:t>依托北岸财富航运总部基地，积极引进国内外知名航运物流公司功能性总部，鼓励开展航运融资、航运保险、航运结算、航材租赁、船舶交易等服务，推动航运业向产业链高端衍生。</w:t>
            </w:r>
          </w:p>
          <w:p>
            <w:pPr>
              <w:snapToGrid w:val="0"/>
              <w:ind w:firstLine="480"/>
              <w:rPr>
                <w:rFonts w:ascii="仿宋" w:hAnsi="仿宋" w:eastAsia="仿宋" w:cs="Times New Roman"/>
                <w:sz w:val="24"/>
                <w:szCs w:val="24"/>
              </w:rPr>
            </w:pPr>
            <w:r>
              <w:rPr>
                <w:rFonts w:hint="eastAsia" w:ascii="仿宋" w:hAnsi="仿宋" w:eastAsia="仿宋" w:cs="Times New Roman"/>
                <w:b/>
                <w:sz w:val="24"/>
                <w:szCs w:val="24"/>
              </w:rPr>
              <w:t>外滩金融历史文化街区：</w:t>
            </w:r>
            <w:r>
              <w:rPr>
                <w:rFonts w:hint="eastAsia" w:ascii="仿宋" w:hAnsi="仿宋" w:eastAsia="仿宋" w:cs="Times New Roman"/>
                <w:sz w:val="24"/>
                <w:szCs w:val="24"/>
              </w:rPr>
              <w:t>依托老外滩金融集聚区及周边楼宇，加速证券、基金、信拓、股权投资、高端财富管理、保险创新、总部经济集聚，优化金融产业布局，不断提升金融发展层次和现代化服务功能。</w:t>
            </w:r>
          </w:p>
          <w:p>
            <w:pPr>
              <w:snapToGrid w:val="0"/>
              <w:ind w:firstLine="480"/>
              <w:rPr>
                <w:rFonts w:eastAsia="楷体" w:cs="Times New Roman"/>
                <w:sz w:val="21"/>
                <w:szCs w:val="20"/>
              </w:rPr>
            </w:pPr>
            <w:r>
              <w:rPr>
                <w:rFonts w:hint="eastAsia" w:ascii="仿宋" w:hAnsi="仿宋" w:eastAsia="仿宋" w:cs="Times New Roman"/>
                <w:b/>
                <w:sz w:val="24"/>
                <w:szCs w:val="24"/>
              </w:rPr>
              <w:t>江北人力资源总部基地：</w:t>
            </w:r>
            <w:r>
              <w:rPr>
                <w:rFonts w:hint="eastAsia" w:ascii="仿宋" w:hAnsi="仿宋" w:eastAsia="仿宋" w:cs="Times New Roman"/>
                <w:sz w:val="24"/>
                <w:szCs w:val="24"/>
              </w:rPr>
              <w:t>以建筑劳务产业园和北岸数字人力资源产业园为依托，推进人力资源服务创新和产业链式发展，打造宁波人力资源服务产业高地。</w:t>
            </w:r>
            <w:r>
              <w:rPr>
                <w:rFonts w:hint="eastAsia" w:ascii="仿宋" w:hAnsi="仿宋" w:eastAsia="仿宋" w:cs="Times New Roman"/>
                <w:sz w:val="24"/>
                <w:szCs w:val="24"/>
              </w:rPr>
              <w:br w:type="textWrapping"/>
            </w:r>
            <w:r>
              <w:rPr>
                <w:rFonts w:hint="eastAsia" w:ascii="仿宋" w:hAnsi="仿宋" w:eastAsia="仿宋" w:cs="Times New Roman"/>
                <w:sz w:val="24"/>
                <w:szCs w:val="24"/>
              </w:rPr>
              <w:t xml:space="preserve">    </w:t>
            </w:r>
            <w:r>
              <w:rPr>
                <w:rFonts w:hint="eastAsia" w:ascii="仿宋" w:hAnsi="仿宋" w:eastAsia="仿宋" w:cs="Times New Roman"/>
                <w:b/>
                <w:sz w:val="24"/>
                <w:szCs w:val="24"/>
              </w:rPr>
              <w:t>奥体周边健康体育产业集聚区：</w:t>
            </w:r>
            <w:r>
              <w:rPr>
                <w:rFonts w:hint="eastAsia" w:ascii="仿宋" w:hAnsi="仿宋" w:eastAsia="仿宋" w:cs="Times New Roman"/>
                <w:sz w:val="24"/>
                <w:szCs w:val="24"/>
              </w:rPr>
              <w:t>发挥宁波奥体中心触媒作用，立足大众群体健康诉求，大力发展健康运动、赛事服务以及健康促进服务等业态，顺应“互联网+”趋势，积极发展健康科技及智慧运动服务业，做大做强区域健康体育产业。</w:t>
            </w:r>
          </w:p>
        </w:tc>
      </w:tr>
    </w:tbl>
    <w:p>
      <w:pPr>
        <w:pStyle w:val="3"/>
        <w:numPr>
          <w:ilvl w:val="0"/>
          <w:numId w:val="13"/>
        </w:numPr>
      </w:pPr>
      <w:bookmarkStart w:id="59" w:name="_Toc66031120"/>
      <w:r>
        <w:rPr>
          <w:rFonts w:hint="eastAsia"/>
        </w:rPr>
        <w:t>推进循环经济和清洁生产</w:t>
      </w:r>
      <w:bookmarkEnd w:id="59"/>
    </w:p>
    <w:p>
      <w:pPr>
        <w:spacing w:line="384" w:lineRule="auto"/>
        <w:ind w:firstLine="602" w:firstLineChars="200"/>
      </w:pPr>
      <w:r>
        <w:rPr>
          <w:rFonts w:hint="eastAsia"/>
          <w:b/>
        </w:rPr>
        <w:t>构建更高水平的循环经济。</w:t>
      </w:r>
      <w:r>
        <w:rPr>
          <w:rFonts w:hint="eastAsia"/>
        </w:rPr>
        <w:t>坚持科技创新、机制创新和模式创新为动力，推动全社会层面循环经济发展。依托现有产业优势和特色，统筹规划，优化布局，实施龙头骨干企业主导的产业链上下游延伸计划，完善产业配套，打造特色产业园，加快工业循环经济产业集聚化、规模化发展。推动不同行业的企业以物质流、能量流为媒介进行链接共生，实现原料互供、资源共享、废弃物综合利用，建立跨行业的循环产业链。全面推进园区循环化改造，按产业链、价值链“两链”集聚项目、招商选资、优化布局，加大对存量园区实施循环化改造力度，建设公共服务平台，构建循环经济产业链，实现企业间、产业间的循环链接，实现土地集约利用、资源能源高效利用、废弃物资源化利用。落实最严格水资源管理制度，建立用水总量控制红线、用水效率控制红线和水功能区限制纳污红线，加大居民节水宣传力度，推广节水器具使用，全面推进节水型社会、全域推广海绵城市建设。</w:t>
      </w:r>
    </w:p>
    <w:p>
      <w:pPr>
        <w:spacing w:line="384" w:lineRule="auto"/>
        <w:ind w:firstLine="602" w:firstLineChars="200"/>
      </w:pPr>
      <w:r>
        <w:rPr>
          <w:rFonts w:hint="eastAsia"/>
          <w:b/>
        </w:rPr>
        <w:t>加快实施绿色制造工程。</w:t>
      </w:r>
      <w:r>
        <w:rPr>
          <w:rFonts w:hint="eastAsia"/>
        </w:rPr>
        <w:t>以传统制造业绿色改造升级为重点，加快构建绿色制造体系，壮大绿色产业，实现制造业高效清洁低碳循环和可持续发展，学习金田铜业、康赛妮等绿色工厂、绿色设计产品经验，形成江北区绿色制造体系创建体系。</w:t>
      </w:r>
    </w:p>
    <w:p>
      <w:pPr>
        <w:spacing w:line="384" w:lineRule="auto"/>
        <w:ind w:firstLine="602" w:firstLineChars="200"/>
      </w:pPr>
      <w:r>
        <w:rPr>
          <w:rFonts w:hint="eastAsia"/>
          <w:b/>
        </w:rPr>
        <w:t>推进行业清洁化生产。</w:t>
      </w:r>
      <w:r>
        <w:rPr>
          <w:rFonts w:hint="eastAsia"/>
        </w:rPr>
        <w:t>培育清洁生产示范企业，探索清洁生产管理方式变革，对重点工业园区、重点企业试点推行清洁生产模式，建设一批清洁化改造示范项目和示范企业，实现工业清洁生产水平显著提升。深入推进重点用能、用电、用水、排污企业清洁生产审核，每年针对水污染防治、大气污染防治、重金属污染防治、危险废物和污泥污染防治的重点企业制定开展强制性清洁生产审核的企业名单，结合重污染行业整治提升，落实清洁生产审核。鼓励其他排污企业开展自愿性清洁生产审核，鼓励企业工艺技术装备更新改造，从源头减少能资源消耗与废弃物产生。</w:t>
      </w:r>
    </w:p>
    <w:p>
      <w:pPr>
        <w:spacing w:line="384" w:lineRule="auto"/>
        <w:ind w:firstLine="602" w:firstLineChars="200"/>
      </w:pPr>
      <w:r>
        <w:rPr>
          <w:rFonts w:hint="eastAsia"/>
          <w:b/>
        </w:rPr>
        <w:t>推进实施节水行动。</w:t>
      </w:r>
      <w:r>
        <w:rPr>
          <w:rFonts w:hint="eastAsia"/>
        </w:rPr>
        <w:t>践行“节水优先”方针，大力推动全社会节水、全面提升水资源节约集约利用水平。实施总量强度双控指标体系，实施用水全过程管控，全面开展用水户水平衡测试工作，严格控制单元用水量，通过农业节水增效、工业节水减排、城镇节水降损、节水开源、节水示范创建五大行动，全面提高用水效率。到2</w:t>
      </w:r>
      <w:r>
        <w:t>025年</w:t>
      </w:r>
      <w:r>
        <w:rPr>
          <w:rFonts w:hint="eastAsia"/>
        </w:rPr>
        <w:t>，</w:t>
      </w:r>
      <w:r>
        <w:t>全区水平衡测试率达100</w:t>
      </w:r>
      <w:r>
        <w:rPr>
          <w:rFonts w:hint="eastAsia"/>
        </w:rPr>
        <w:t>%，创建绿色发展示范区2个，节水教育基地1个，市级节水型园区1</w:t>
      </w:r>
      <w:r>
        <w:t>00</w:t>
      </w:r>
      <w:r>
        <w:rPr>
          <w:rFonts w:hint="eastAsia"/>
        </w:rPr>
        <w:t>%，省级节水型灌区</w:t>
      </w:r>
      <w:r>
        <w:t>2</w:t>
      </w:r>
      <w:r>
        <w:rPr>
          <w:rFonts w:hint="eastAsia"/>
        </w:rPr>
        <w:t xml:space="preserve">个。 </w:t>
      </w:r>
    </w:p>
    <w:p>
      <w:pPr>
        <w:pStyle w:val="3"/>
      </w:pPr>
      <w:bookmarkStart w:id="60" w:name="_Toc66031121"/>
      <w:r>
        <w:t>推进应对气候变化和碳达峰</w:t>
      </w:r>
      <w:bookmarkEnd w:id="60"/>
    </w:p>
    <w:p>
      <w:pPr>
        <w:spacing w:line="384" w:lineRule="auto"/>
        <w:ind w:firstLine="602" w:firstLineChars="200"/>
      </w:pPr>
      <w:r>
        <w:rPr>
          <w:rFonts w:hint="eastAsia"/>
          <w:b/>
        </w:rPr>
        <w:t>推进能源节约利用。</w:t>
      </w:r>
      <w:r>
        <w:rPr>
          <w:rFonts w:hint="eastAsia"/>
        </w:rPr>
        <w:t>按照“政府引导、企业主体”的原则，在工业、建筑、交通、商贸、农业、公共机构等重点领域开展节能工作，最大限度地调动重点用能企业的积极性，构建符合国家要求和用能单位实际的能源管理体系。鼓励企业实施节能技术改造和合同能源管理，加强重点用能企业能源审计和节能监管，制定办法强化节能审查后评价工作。落实“减污降碳”总要求，对减污降碳协同增效一体谋划、一体部署、一体推进、一体考核，进一步强化降碳的刚性举措，严格控制行业过剩产能项目和高能耗、重污染、低产出项目的准入，着力打造一批低碳产业园中园和集聚区，促进低碳企业培育、低碳产业链延伸和产业规模壮大。</w:t>
      </w:r>
    </w:p>
    <w:p>
      <w:pPr>
        <w:spacing w:line="384" w:lineRule="auto"/>
        <w:ind w:firstLine="602" w:firstLineChars="200"/>
      </w:pPr>
      <w:r>
        <w:rPr>
          <w:b/>
        </w:rPr>
        <w:t>积极应对气候变化</w:t>
      </w:r>
      <w:r>
        <w:rPr>
          <w:rFonts w:hint="eastAsia"/>
          <w:b/>
        </w:rPr>
        <w:t>。</w:t>
      </w:r>
      <w:r>
        <w:rPr>
          <w:rFonts w:hint="eastAsia"/>
        </w:rPr>
        <w:t>围绕落实二氧化碳排放达峰目标与碳中和愿景，协同控制温室气体与污染物排放，协同推进适应气候变化与生态保护修复等工作，支撑深入打好污染防治攻坚战和二氧化碳排放达峰行动。制定2030年前二氧化碳排放达峰行动方案，鼓励能源、工业、交通、建筑等重点领域制定达峰专项方案。完善应对气候变化统计报表制度，在环境统计工作中协同开展温室气体排放相关调查，将应对气候变化要求纳入“三线一单”（生态保护红线、环境质量底线、资源利用上线和生态环境准入清单）生态环境分区管控体系，通过规划环评、项目环评推动区域、行业和企业落实温室气体排放控制等政策要求。积极推动低碳试点示范建设，积极探索前洋经济开发区的低碳发展模式，尝试以近零碳排放区示范工程的建设积极应对气候变化，通过实施近零碳排放区示范工程，有效降低二氧化碳排放量，探索建立江北区碳排放总量控制制度，争取率先实现碳峰值。</w:t>
      </w:r>
    </w:p>
    <w:p>
      <w:pPr>
        <w:spacing w:line="384" w:lineRule="auto"/>
        <w:ind w:firstLine="600" w:firstLineChars="200"/>
      </w:pPr>
      <w:r>
        <w:br w:type="page"/>
      </w:r>
    </w:p>
    <w:p>
      <w:pPr>
        <w:pStyle w:val="2"/>
      </w:pPr>
      <w:r>
        <w:rPr>
          <w:rFonts w:hint="eastAsia"/>
        </w:rPr>
        <w:t xml:space="preserve"> </w:t>
      </w:r>
      <w:bookmarkStart w:id="61" w:name="_Toc66031122"/>
      <w:r>
        <w:rPr>
          <w:rFonts w:hint="eastAsia"/>
        </w:rPr>
        <w:t>打造宜居宜业的生态生活</w:t>
      </w:r>
      <w:bookmarkEnd w:id="61"/>
    </w:p>
    <w:p>
      <w:pPr>
        <w:pStyle w:val="3"/>
        <w:numPr>
          <w:ilvl w:val="0"/>
          <w:numId w:val="14"/>
        </w:numPr>
      </w:pPr>
      <w:bookmarkStart w:id="62" w:name="_Toc66031123"/>
      <w:bookmarkStart w:id="63" w:name="_Toc12352859"/>
      <w:r>
        <w:rPr>
          <w:rFonts w:hint="eastAsia"/>
        </w:rPr>
        <w:t>提高城市现代化建设水平</w:t>
      </w:r>
      <w:bookmarkEnd w:id="62"/>
    </w:p>
    <w:p>
      <w:pPr>
        <w:spacing w:line="384" w:lineRule="auto"/>
        <w:ind w:firstLine="602" w:firstLineChars="200"/>
        <w:rPr>
          <w:rFonts w:cs="Times New Roman"/>
          <w:szCs w:val="28"/>
        </w:rPr>
      </w:pPr>
      <w:r>
        <w:rPr>
          <w:rFonts w:hint="eastAsia" w:cs="Times New Roman"/>
          <w:b/>
          <w:bCs/>
          <w:szCs w:val="28"/>
        </w:rPr>
        <w:t>构建城市绿色生态游憩空间。</w:t>
      </w:r>
      <w:r>
        <w:rPr>
          <w:rFonts w:hint="eastAsia" w:cs="Times New Roman"/>
          <w:szCs w:val="28"/>
        </w:rPr>
        <w:t>以水为脉构建城市慢行休闲系统，沿</w:t>
      </w:r>
      <w:r>
        <w:rPr>
          <w:rFonts w:cs="Times New Roman"/>
          <w:szCs w:val="28"/>
        </w:rPr>
        <w:t>姚江</w:t>
      </w:r>
      <w:r>
        <w:rPr>
          <w:rFonts w:hint="eastAsia" w:cs="Times New Roman"/>
          <w:szCs w:val="28"/>
        </w:rPr>
        <w:t>建设姚江南岸滨江休闲带、姚江新区滨江景观带，谋划提升姚江北岸景观</w:t>
      </w:r>
      <w:r>
        <w:rPr>
          <w:rFonts w:cs="Times New Roman"/>
          <w:szCs w:val="28"/>
        </w:rPr>
        <w:t>，</w:t>
      </w:r>
      <w:r>
        <w:rPr>
          <w:rFonts w:hint="eastAsia" w:cs="Times New Roman"/>
          <w:szCs w:val="28"/>
        </w:rPr>
        <w:t>沿</w:t>
      </w:r>
      <w:r>
        <w:rPr>
          <w:rFonts w:cs="Times New Roman"/>
          <w:szCs w:val="28"/>
        </w:rPr>
        <w:t>甬江</w:t>
      </w:r>
      <w:r>
        <w:rPr>
          <w:rFonts w:hint="eastAsia" w:cs="Times New Roman"/>
          <w:szCs w:val="28"/>
        </w:rPr>
        <w:t>打造</w:t>
      </w:r>
      <w:r>
        <w:rPr>
          <w:rFonts w:cs="Times New Roman"/>
          <w:szCs w:val="28"/>
        </w:rPr>
        <w:t>文创港</w:t>
      </w:r>
      <w:r>
        <w:rPr>
          <w:rFonts w:hint="eastAsia" w:cs="Times New Roman"/>
          <w:szCs w:val="28"/>
        </w:rPr>
        <w:t>沿江</w:t>
      </w:r>
      <w:r>
        <w:rPr>
          <w:rFonts w:cs="Times New Roman"/>
          <w:szCs w:val="28"/>
        </w:rPr>
        <w:t>绿道</w:t>
      </w:r>
      <w:r>
        <w:rPr>
          <w:rFonts w:hint="eastAsia" w:cs="Times New Roman"/>
          <w:szCs w:val="28"/>
        </w:rPr>
        <w:t>绿带</w:t>
      </w:r>
      <w:r>
        <w:rPr>
          <w:rFonts w:cs="Times New Roman"/>
          <w:szCs w:val="28"/>
        </w:rPr>
        <w:t>、</w:t>
      </w:r>
      <w:r>
        <w:rPr>
          <w:rFonts w:hint="eastAsia" w:cs="Times New Roman"/>
          <w:szCs w:val="28"/>
        </w:rPr>
        <w:t>下白沙路以南沿江绿带</w:t>
      </w:r>
      <w:r>
        <w:rPr>
          <w:rFonts w:cs="Times New Roman"/>
          <w:szCs w:val="28"/>
        </w:rPr>
        <w:t>，</w:t>
      </w:r>
      <w:r>
        <w:rPr>
          <w:rFonts w:hint="eastAsia" w:cs="Times New Roman"/>
          <w:szCs w:val="28"/>
        </w:rPr>
        <w:t>结合</w:t>
      </w:r>
      <w:r>
        <w:rPr>
          <w:rFonts w:cs="Times New Roman"/>
          <w:szCs w:val="28"/>
        </w:rPr>
        <w:t>区域其他绿地绿道，逐步</w:t>
      </w:r>
      <w:r>
        <w:rPr>
          <w:rFonts w:hint="eastAsia" w:cs="Times New Roman"/>
          <w:szCs w:val="28"/>
        </w:rPr>
        <w:t>推动城市</w:t>
      </w:r>
      <w:r>
        <w:rPr>
          <w:rFonts w:cs="Times New Roman"/>
          <w:szCs w:val="28"/>
        </w:rPr>
        <w:t>慢行系统串联成</w:t>
      </w:r>
      <w:r>
        <w:rPr>
          <w:rFonts w:hint="eastAsia" w:cs="Times New Roman"/>
          <w:szCs w:val="28"/>
        </w:rPr>
        <w:t>网。构建城市绿色生态节点，建设中心城区公园绿地10分钟服务圈，建设李</w:t>
      </w:r>
      <w:r>
        <w:rPr>
          <w:rFonts w:hint="eastAsia" w:ascii="仿宋" w:hAnsi="仿宋" w:eastAsia="仿宋" w:cs="微软雅黑"/>
          <w:szCs w:val="28"/>
        </w:rPr>
        <w:t>碶</w:t>
      </w:r>
      <w:r>
        <w:rPr>
          <w:rFonts w:hint="eastAsia" w:ascii="仿宋_GB2312" w:hAnsi="仿宋_GB2312" w:cs="仿宋_GB2312"/>
          <w:szCs w:val="28"/>
        </w:rPr>
        <w:t>渡公园、湾头星湖公园等</w:t>
      </w:r>
      <w:r>
        <w:rPr>
          <w:rFonts w:ascii="仿宋_GB2312" w:hAnsi="仿宋_GB2312" w:cs="仿宋_GB2312"/>
          <w:szCs w:val="28"/>
        </w:rPr>
        <w:t>，</w:t>
      </w:r>
      <w:r>
        <w:rPr>
          <w:rFonts w:hint="eastAsia" w:cs="Times New Roman"/>
          <w:szCs w:val="28"/>
        </w:rPr>
        <w:t>配套建设步行绿道、</w:t>
      </w:r>
      <w:r>
        <w:rPr>
          <w:rFonts w:cs="Times New Roman"/>
          <w:szCs w:val="28"/>
        </w:rPr>
        <w:t>骑行绿道</w:t>
      </w:r>
      <w:r>
        <w:rPr>
          <w:rFonts w:hint="eastAsia" w:cs="Times New Roman"/>
          <w:szCs w:val="28"/>
        </w:rPr>
        <w:t>、体育运动设施等，完善</w:t>
      </w:r>
      <w:r>
        <w:rPr>
          <w:rFonts w:cs="Times New Roman"/>
          <w:szCs w:val="28"/>
        </w:rPr>
        <w:t>公园绿地体系。</w:t>
      </w:r>
      <w:r>
        <w:rPr>
          <w:rFonts w:hint="eastAsia" w:cs="Times New Roman"/>
          <w:szCs w:val="28"/>
        </w:rPr>
        <w:t>到2025年，形成以“亲水绿道”、防护绿地和区域绿地为主体的绿色生态游憩带，实现城市公园绿地500米服务圈在城市建成区全覆盖。</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217" w:type="dxa"/>
            <w:shd w:val="clear" w:color="auto" w:fill="FFFFFF"/>
            <w:vAlign w:val="center"/>
          </w:tcPr>
          <w:p>
            <w:pPr>
              <w:jc w:val="center"/>
              <w:rPr>
                <w:rFonts w:eastAsia="黑体" w:cs="Times New Roman"/>
                <w:sz w:val="24"/>
                <w:szCs w:val="24"/>
              </w:rPr>
            </w:pPr>
            <w:r>
              <w:rPr>
                <w:rFonts w:eastAsia="黑体" w:cs="Times New Roman"/>
                <w:sz w:val="24"/>
                <w:szCs w:val="24"/>
              </w:rPr>
              <w:t>专栏</w:t>
            </w:r>
            <w:r>
              <w:rPr>
                <w:rFonts w:hint="eastAsia" w:eastAsia="黑体" w:cs="Times New Roman"/>
                <w:sz w:val="24"/>
                <w:szCs w:val="24"/>
              </w:rPr>
              <w:t>：构建城市绿色生态游憩空间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217" w:type="dxa"/>
          </w:tcPr>
          <w:p>
            <w:pPr>
              <w:snapToGrid w:val="0"/>
              <w:ind w:firstLine="480"/>
              <w:rPr>
                <w:rFonts w:eastAsia="楷体" w:cs="Times New Roman"/>
                <w:sz w:val="21"/>
                <w:szCs w:val="20"/>
              </w:rPr>
            </w:pPr>
            <w:r>
              <w:rPr>
                <w:rFonts w:hint="eastAsia" w:ascii="仿宋" w:hAnsi="仿宋" w:eastAsia="仿宋" w:cs="Times New Roman"/>
                <w:sz w:val="24"/>
                <w:szCs w:val="24"/>
              </w:rPr>
              <w:t>荪湖中心湖景观提升工程、文创港核心区滨江水岸项目、江北区生态公园建设项目、江北区“P+R”停车场建设工程、江北区公交场站体系建设工程、李碶渡公园、慈城狮子山公园。</w:t>
            </w:r>
          </w:p>
        </w:tc>
      </w:tr>
    </w:tbl>
    <w:p>
      <w:pPr>
        <w:spacing w:line="384" w:lineRule="auto"/>
        <w:ind w:firstLine="602" w:firstLineChars="200"/>
        <w:rPr>
          <w:rFonts w:cs="Times New Roman"/>
          <w:bCs/>
          <w:szCs w:val="28"/>
        </w:rPr>
      </w:pPr>
      <w:r>
        <w:rPr>
          <w:rFonts w:hint="eastAsia" w:cs="Times New Roman"/>
          <w:b/>
          <w:bCs/>
          <w:szCs w:val="28"/>
        </w:rPr>
        <w:t>提高</w:t>
      </w:r>
      <w:r>
        <w:rPr>
          <w:rFonts w:cs="Times New Roman"/>
          <w:b/>
          <w:bCs/>
          <w:szCs w:val="28"/>
        </w:rPr>
        <w:t>城市基础设施功能</w:t>
      </w:r>
      <w:r>
        <w:rPr>
          <w:rFonts w:hint="eastAsia" w:cs="Times New Roman"/>
          <w:b/>
          <w:bCs/>
          <w:szCs w:val="28"/>
        </w:rPr>
        <w:t>品质</w:t>
      </w:r>
      <w:r>
        <w:rPr>
          <w:rFonts w:cs="Times New Roman"/>
          <w:b/>
          <w:bCs/>
          <w:szCs w:val="28"/>
        </w:rPr>
        <w:t>。</w:t>
      </w:r>
      <w:r>
        <w:rPr>
          <w:rFonts w:hint="eastAsia" w:cs="Times New Roman"/>
          <w:szCs w:val="28"/>
        </w:rPr>
        <w:t>推进污水处理厂建设，建设江北下沉式再生水厂，新增区域污水处理能力10万吨/日，完善配套</w:t>
      </w:r>
      <w:r>
        <w:rPr>
          <w:rFonts w:cs="Times New Roman"/>
          <w:szCs w:val="28"/>
        </w:rPr>
        <w:t>管网建设</w:t>
      </w:r>
      <w:r>
        <w:rPr>
          <w:rFonts w:hint="eastAsia" w:cs="Times New Roman"/>
          <w:szCs w:val="28"/>
        </w:rPr>
        <w:t>，以满足慈城镇、洪塘街道、庄桥街道以及甬江街道部分区域的污水收集需求。因地制宜分区完善污水管网，对</w:t>
      </w:r>
      <w:r>
        <w:rPr>
          <w:rFonts w:cs="Times New Roman"/>
          <w:szCs w:val="28"/>
        </w:rPr>
        <w:t>区域</w:t>
      </w:r>
      <w:r>
        <w:rPr>
          <w:rFonts w:hint="eastAsia" w:cs="Times New Roman"/>
          <w:szCs w:val="28"/>
        </w:rPr>
        <w:t>洋市河</w:t>
      </w:r>
      <w:r>
        <w:rPr>
          <w:rFonts w:cs="Times New Roman"/>
          <w:szCs w:val="28"/>
        </w:rPr>
        <w:t>片等综治片、江北核心区等老城片、前江街道</w:t>
      </w:r>
      <w:r>
        <w:rPr>
          <w:rFonts w:hint="eastAsia" w:cs="Times New Roman"/>
          <w:szCs w:val="28"/>
        </w:rPr>
        <w:t>等配套</w:t>
      </w:r>
      <w:r>
        <w:rPr>
          <w:rFonts w:cs="Times New Roman"/>
          <w:szCs w:val="28"/>
        </w:rPr>
        <w:t>片分类精准施策，完善雨污管网</w:t>
      </w:r>
      <w:r>
        <w:rPr>
          <w:rFonts w:hint="eastAsia" w:cs="Times New Roman"/>
          <w:szCs w:val="28"/>
        </w:rPr>
        <w:t>系统</w:t>
      </w:r>
      <w:r>
        <w:rPr>
          <w:rFonts w:cs="Times New Roman"/>
          <w:szCs w:val="28"/>
        </w:rPr>
        <w:t>。</w:t>
      </w:r>
      <w:r>
        <w:rPr>
          <w:rFonts w:hint="eastAsia" w:cs="Times New Roman"/>
          <w:szCs w:val="28"/>
        </w:rPr>
        <w:t>推进城市地下综合管廊建设</w:t>
      </w:r>
      <w:r>
        <w:rPr>
          <w:rFonts w:cs="Times New Roman"/>
          <w:szCs w:val="28"/>
        </w:rPr>
        <w:t>，</w:t>
      </w:r>
      <w:r>
        <w:rPr>
          <w:rFonts w:hint="eastAsia" w:cs="Times New Roman"/>
          <w:bCs/>
          <w:szCs w:val="28"/>
        </w:rPr>
        <w:t>提升城市给水、排水、电力、通信、燃气、供热等城市市政公用管线建设水平，</w:t>
      </w:r>
      <w:r>
        <w:rPr>
          <w:rFonts w:cs="Times New Roman"/>
          <w:szCs w:val="28"/>
        </w:rPr>
        <w:t>重点</w:t>
      </w:r>
      <w:r>
        <w:rPr>
          <w:rFonts w:hint="eastAsia" w:cs="Times New Roman"/>
          <w:szCs w:val="28"/>
        </w:rPr>
        <w:t>优先布局姚江新区广元大道、云飞路及邵渡路综合管廊。实施智能化市政基础设施建设和改造，加快智慧城市</w:t>
      </w:r>
      <w:r>
        <w:rPr>
          <w:rFonts w:cs="Times New Roman"/>
          <w:szCs w:val="28"/>
        </w:rPr>
        <w:t>建设。</w:t>
      </w:r>
    </w:p>
    <w:p>
      <w:pPr>
        <w:spacing w:line="384" w:lineRule="auto"/>
        <w:ind w:firstLine="602" w:firstLineChars="200"/>
        <w:rPr>
          <w:rFonts w:cs="Times New Roman"/>
          <w:bCs/>
          <w:szCs w:val="28"/>
        </w:rPr>
      </w:pPr>
      <w:r>
        <w:rPr>
          <w:rFonts w:hint="eastAsia" w:cs="Times New Roman"/>
          <w:b/>
          <w:bCs/>
          <w:szCs w:val="28"/>
        </w:rPr>
        <w:t>推动老旧住宅小区更新改造。</w:t>
      </w:r>
      <w:r>
        <w:rPr>
          <w:rFonts w:hint="eastAsia" w:cs="Times New Roman"/>
          <w:bCs/>
          <w:szCs w:val="28"/>
        </w:rPr>
        <w:t>积极推进城市更新改造，提高征拆效率，制定落实区域征拆计划。通过“综合改造”和“微改造”两种方式对区域老旧小区进行有机更新，近期重点完成玛瑙小区、桃源小区、莱茵堡花园、翠东小区等共25个小区的老旧小区改造提升工程。根据居民反应强烈的民生问题制定老旧小区改造计划，积极吸引社会力量参与建设，设立物业专项维修资金账户，按照“财政出资、居民筹资、社会捐资”的方式保障老旧小区改造资金。探索建立起社区治理新模式和长效管理新机制，加快老旧小区物业服务“全覆盖”。按照“谋划一批、生成一批、实施一批、储备一批”的原则，到2022年</w:t>
      </w:r>
      <w:r>
        <w:rPr>
          <w:rFonts w:cs="Times New Roman"/>
          <w:bCs/>
          <w:szCs w:val="28"/>
        </w:rPr>
        <w:t>，</w:t>
      </w:r>
      <w:r>
        <w:rPr>
          <w:rFonts w:hint="eastAsia" w:cs="Times New Roman"/>
          <w:bCs/>
          <w:szCs w:val="28"/>
        </w:rPr>
        <w:t>基本完成全区全部老旧住宅小区改造工作，到2025年，基本补齐既有居住社区设施短板，城市居住社区环境明显改善，共建共治共享机制不断健全。</w:t>
      </w:r>
    </w:p>
    <w:p>
      <w:pPr>
        <w:spacing w:line="384" w:lineRule="auto"/>
        <w:ind w:firstLine="602" w:firstLineChars="200"/>
        <w:rPr>
          <w:rFonts w:cs="Times New Roman"/>
          <w:bCs/>
          <w:szCs w:val="28"/>
        </w:rPr>
      </w:pPr>
      <w:r>
        <w:rPr>
          <w:rFonts w:hint="eastAsia" w:cs="Times New Roman"/>
          <w:b/>
          <w:bCs/>
          <w:szCs w:val="28"/>
        </w:rPr>
        <w:t>积极落实绿色建筑标准。</w:t>
      </w:r>
      <w:r>
        <w:rPr>
          <w:rFonts w:hint="eastAsia" w:cs="Times New Roman"/>
          <w:bCs/>
          <w:szCs w:val="28"/>
        </w:rPr>
        <w:t>做好绿色建筑等级等控制性指标的源头管理工作，在建设用地规划初期明确绿色建筑等级、装配式建筑建造和住宅全装修等控制性要求，从源头上推进绿色建筑和建筑工业化发展。强化绿色建筑设计监管，严格把关绿色建筑施工和竣工验收。到2025年，在城市、镇总体规划确定的城镇建设用地范围内新建民用建筑（农民自建住宅除外）全面按照行一星级绿色建筑强制性标准进行建设的基础上，按二星级及以上绿色建筑强制性标准进行建设的面积比例达到60%及以上，其中按三星级绿色建筑强制性标准进行建设的面积比例达到13.5%及以上。</w:t>
      </w:r>
    </w:p>
    <w:p>
      <w:pPr>
        <w:spacing w:line="384" w:lineRule="auto"/>
        <w:ind w:firstLine="600" w:firstLineChars="200"/>
        <w:rPr>
          <w:rFonts w:cs="Times New Roman"/>
          <w:bCs/>
          <w:szCs w:val="28"/>
        </w:rPr>
      </w:pPr>
    </w:p>
    <w:bookmarkEnd w:id="63"/>
    <w:p>
      <w:pPr>
        <w:pStyle w:val="3"/>
      </w:pPr>
      <w:bookmarkStart w:id="64" w:name="_Toc66031124"/>
      <w:r>
        <w:rPr>
          <w:rFonts w:hint="eastAsia"/>
        </w:rPr>
        <w:t>打造休闲宜居美丽城镇</w:t>
      </w:r>
      <w:bookmarkEnd w:id="64"/>
    </w:p>
    <w:p>
      <w:pPr>
        <w:spacing w:line="384" w:lineRule="auto"/>
        <w:ind w:firstLine="602" w:firstLineChars="200"/>
        <w:rPr>
          <w:rFonts w:cs="Times New Roman"/>
          <w:bCs/>
          <w:szCs w:val="28"/>
        </w:rPr>
      </w:pPr>
      <w:r>
        <w:rPr>
          <w:rFonts w:hint="eastAsia" w:cs="Times New Roman"/>
          <w:b/>
          <w:bCs/>
          <w:szCs w:val="28"/>
        </w:rPr>
        <w:t>大力推进城乡融合发展。</w:t>
      </w:r>
      <w:r>
        <w:rPr>
          <w:rFonts w:hint="eastAsia" w:cs="Times New Roman"/>
          <w:bCs/>
          <w:szCs w:val="28"/>
        </w:rPr>
        <w:t>加强城镇服务城市、带动乡村的枢纽功能，推进全区形成“工农互促、城乡互补、共同繁荣”的新型城乡关系。明晰不同城镇在国土空间总体规划中的地位、作用与职能，分类发挥城镇的都市休闲、产业集聚、文创科创等功能，指导城镇开展特色性建设，疏解城市非核心功能，重点建设姚江新城、慈城卫星城等区块，促进城乡高质量融合发展。加强城镇生态空间衔接功能，做好城区与乡村的绿道衔接，推进城乡绿道串联成网，鼓励沿绿道合理配套建设驿站、安全、集散、商业、游憩、科教、环卫等服务设施，力争每万人拥有绿道长度1公里以上。打造小城镇公共服务生活圈，构建舒适便捷、全域覆盖、层级叠加的镇村生活圈体系，建设5分钟社区生活圈、15分钟建成区生活圈以及30分钟辖区生活圈，保障基本公共服务城乡全域覆盖。</w:t>
      </w:r>
    </w:p>
    <w:p>
      <w:pPr>
        <w:spacing w:line="384" w:lineRule="auto"/>
        <w:ind w:firstLine="602" w:firstLineChars="200"/>
        <w:rPr>
          <w:rFonts w:cs="Times New Roman"/>
          <w:bCs/>
          <w:szCs w:val="28"/>
        </w:rPr>
      </w:pPr>
      <w:r>
        <w:rPr>
          <w:rFonts w:hint="eastAsia" w:cs="Times New Roman"/>
          <w:b/>
          <w:bCs/>
          <w:szCs w:val="28"/>
        </w:rPr>
        <w:t>打造美丽城镇建设样板。</w:t>
      </w:r>
      <w:r>
        <w:rPr>
          <w:rFonts w:hint="eastAsia" w:cs="Times New Roman"/>
          <w:bCs/>
          <w:szCs w:val="28"/>
        </w:rPr>
        <w:t>开展美丽城镇建设，推进庄桥街道、洪塘街道和慈城镇的美丽城镇创建，力争成功创建省级美丽城镇建设样板。积极推进美丽民居、美丽庭院、美丽街区、美丽社区、美丽厂区、美丽河湖和美丽田园等美丽载体创建工作。力争到2025年，庄桥街道、洪塘街道和慈城镇达到美丽城镇要求，城乡融合发展体制机制初步建立。到203</w:t>
      </w:r>
      <w:r>
        <w:rPr>
          <w:rFonts w:cs="Times New Roman"/>
          <w:bCs/>
          <w:szCs w:val="28"/>
        </w:rPr>
        <w:t>0</w:t>
      </w:r>
      <w:r>
        <w:rPr>
          <w:rFonts w:hint="eastAsia" w:cs="Times New Roman"/>
          <w:bCs/>
          <w:szCs w:val="28"/>
        </w:rPr>
        <w:t>年，美丽城镇建设取得显著进展，城乡融合发展体制机制更加完善，庄桥街道、洪塘街道和慈城镇高质量全面建成美丽城镇。</w:t>
      </w:r>
    </w:p>
    <w:p>
      <w:pPr>
        <w:pStyle w:val="3"/>
      </w:pPr>
      <w:bookmarkStart w:id="65" w:name="_Toc66031125"/>
      <w:r>
        <w:rPr>
          <w:rFonts w:hint="eastAsia"/>
        </w:rPr>
        <w:t>建设生态诗意美丽乡村</w:t>
      </w:r>
      <w:bookmarkEnd w:id="65"/>
    </w:p>
    <w:p>
      <w:pPr>
        <w:spacing w:line="384" w:lineRule="auto"/>
        <w:ind w:firstLine="602" w:firstLineChars="200"/>
        <w:rPr>
          <w:rFonts w:cs="Times New Roman"/>
          <w:szCs w:val="28"/>
        </w:rPr>
      </w:pPr>
      <w:r>
        <w:rPr>
          <w:rFonts w:hint="eastAsia" w:cs="Times New Roman"/>
          <w:b/>
          <w:szCs w:val="28"/>
        </w:rPr>
        <w:t>深化农村生活污水治理。</w:t>
      </w:r>
      <w:r>
        <w:rPr>
          <w:rFonts w:hint="eastAsia" w:cs="Times New Roman"/>
          <w:szCs w:val="28"/>
        </w:rPr>
        <w:t>积极推进满足纳厂条件的村庄采取纳厂处理模式，因地制宜建设提升泵与出村管线，推动现状终端接入污水市政管网，不断提高农村生活污水纳厂率，近期重点推进湖心村、畈里塘村、费市村、观庄村等农村生活污水终端纳管，远期满足纳厂条件的农村生活污水处理终端全部采取纳厂处理模式，并提升区域农村生活污水接户率。进一步对区域内已建生活污水处理终端但运行效果不理想的村庄进行设施的改造提升工作，提升出水水质达标率，至2025年，全区农村生活污水处理终端出水达标率达到9</w:t>
      </w:r>
      <w:r>
        <w:rPr>
          <w:rFonts w:cs="Times New Roman"/>
          <w:szCs w:val="28"/>
        </w:rPr>
        <w:t>5</w:t>
      </w:r>
      <w:r>
        <w:rPr>
          <w:rFonts w:hint="eastAsia" w:cs="Times New Roman"/>
          <w:szCs w:val="28"/>
        </w:rPr>
        <w:t>%</w:t>
      </w:r>
      <w:r>
        <w:rPr>
          <w:rFonts w:cs="Times New Roman"/>
          <w:szCs w:val="28"/>
        </w:rPr>
        <w:t>以上</w:t>
      </w:r>
      <w:r>
        <w:rPr>
          <w:rFonts w:hint="eastAsia" w:cs="Times New Roman"/>
          <w:szCs w:val="28"/>
        </w:rPr>
        <w:t>。完善农村生活污水处理设施的运行维护工作，保障全区日处理能力30吨以上的治理设施全面实施标准化运维管理。</w:t>
      </w:r>
    </w:p>
    <w:p>
      <w:pPr>
        <w:spacing w:line="384" w:lineRule="auto"/>
        <w:ind w:firstLine="602" w:firstLineChars="200"/>
        <w:rPr>
          <w:rFonts w:cs="Times New Roman"/>
          <w:szCs w:val="28"/>
        </w:rPr>
      </w:pPr>
      <w:r>
        <w:rPr>
          <w:rFonts w:hint="eastAsia" w:cs="Times New Roman"/>
          <w:b/>
          <w:szCs w:val="28"/>
        </w:rPr>
        <w:t>积极推动农村厕所革命。</w:t>
      </w:r>
      <w:r>
        <w:rPr>
          <w:rFonts w:hint="eastAsia" w:cs="Times New Roman"/>
          <w:szCs w:val="28"/>
        </w:rPr>
        <w:t>深化农村户厕改造，着力推广农户水冲式卫生厕所，推进无害化卫生户厕改造。全面实施厕所粪污同步治理，实现达标排放或资源化利用，做好农村改厕与城乡生活污水治理的有效衔接，污水严格纳管排放。建立农村公厕长效维护管理模式，探索采用“大数据+信息化”的管理模式，实现粪污从收集、运输无害化处理到综合利用的全过程养护。到2025年，保持农村无害化卫生户厕的自然村全覆盖。</w:t>
      </w:r>
    </w:p>
    <w:p>
      <w:pPr>
        <w:spacing w:line="384" w:lineRule="auto"/>
        <w:ind w:firstLine="602" w:firstLineChars="200"/>
        <w:rPr>
          <w:rFonts w:cs="Times New Roman"/>
          <w:szCs w:val="28"/>
        </w:rPr>
      </w:pPr>
      <w:r>
        <w:rPr>
          <w:rFonts w:hint="eastAsia" w:cs="Times New Roman"/>
          <w:b/>
          <w:szCs w:val="28"/>
        </w:rPr>
        <w:t>开展“四好”农村路建设。</w:t>
      </w:r>
      <w:r>
        <w:rPr>
          <w:rFonts w:hint="eastAsia" w:cs="Times New Roman"/>
          <w:szCs w:val="28"/>
        </w:rPr>
        <w:t>以“六环三联”为基本布局，开展“四好农村路”建设，近期以二百人以上较大自然村为重点，推进“四好农村路”全覆盖。聚焦打通断头路，保持区域内无等外公路。分类推进公路改扩建工作，定期开展农村公路技术状况检测评定工作，每年县道自动化检测比例应达到50%，乡村道自动化检测比例应达到30%，实现农村公路养护周期性良性循环。到2025年，农村道路品质全面提升，实现全域创美争优。</w:t>
      </w:r>
    </w:p>
    <w:p>
      <w:pPr>
        <w:pStyle w:val="3"/>
      </w:pPr>
      <w:bookmarkStart w:id="66" w:name="_Toc12352862"/>
      <w:bookmarkStart w:id="67" w:name="_Toc66031126"/>
      <w:r>
        <w:rPr>
          <w:rFonts w:hint="eastAsia"/>
        </w:rPr>
        <w:t>倡导</w:t>
      </w:r>
      <w:r>
        <w:t>绿色生活方式</w:t>
      </w:r>
      <w:bookmarkEnd w:id="66"/>
      <w:bookmarkEnd w:id="67"/>
    </w:p>
    <w:p>
      <w:pPr>
        <w:spacing w:line="384" w:lineRule="auto"/>
        <w:ind w:firstLine="602" w:firstLineChars="200"/>
        <w:rPr>
          <w:rFonts w:cs="Times New Roman"/>
          <w:szCs w:val="28"/>
        </w:rPr>
      </w:pPr>
      <w:r>
        <w:rPr>
          <w:rFonts w:cs="Times New Roman"/>
          <w:b/>
          <w:szCs w:val="28"/>
        </w:rPr>
        <w:t>推动绿色交通发展。</w:t>
      </w:r>
      <w:r>
        <w:rPr>
          <w:rFonts w:hint="eastAsia" w:cs="Times New Roman"/>
          <w:szCs w:val="28"/>
        </w:rPr>
        <w:t>大力</w:t>
      </w:r>
      <w:r>
        <w:rPr>
          <w:rFonts w:cs="Times New Roman"/>
          <w:szCs w:val="28"/>
        </w:rPr>
        <w:t>提升公共交通服务</w:t>
      </w:r>
      <w:r>
        <w:rPr>
          <w:rFonts w:hint="eastAsia" w:cs="Times New Roman"/>
          <w:szCs w:val="28"/>
        </w:rPr>
        <w:t>水平</w:t>
      </w:r>
      <w:r>
        <w:rPr>
          <w:rFonts w:cs="Times New Roman"/>
          <w:szCs w:val="28"/>
        </w:rPr>
        <w:t>，</w:t>
      </w:r>
      <w:r>
        <w:rPr>
          <w:rFonts w:hint="eastAsia" w:cs="Times New Roman"/>
          <w:szCs w:val="28"/>
        </w:rPr>
        <w:t>深入实施城市公共交通优先战略，构建以轨道交通为骨架，中运量和常规公交为主体，出租车为补充，公共自行车为延伸的绿色交通体系。全力保障区域内轨道交通路网建设，构筑以轨道站点为核心的换乘枢纽体系，</w:t>
      </w:r>
      <w:r>
        <w:rPr>
          <w:rFonts w:cs="Times New Roman"/>
          <w:szCs w:val="28"/>
        </w:rPr>
        <w:t>重点</w:t>
      </w:r>
      <w:r>
        <w:rPr>
          <w:rFonts w:hint="eastAsia" w:cs="Times New Roman"/>
          <w:szCs w:val="28"/>
        </w:rPr>
        <w:t>新增宁波大学站、官山河站、宝轴西路站等“P+R”停车场6个，新增三官堂站、慈城西站等轨道沿线公交首末站6个，为</w:t>
      </w:r>
      <w:r>
        <w:rPr>
          <w:rFonts w:cs="Times New Roman"/>
          <w:szCs w:val="28"/>
        </w:rPr>
        <w:t>公众</w:t>
      </w:r>
      <w:r>
        <w:rPr>
          <w:rFonts w:hint="eastAsia" w:cs="Times New Roman"/>
          <w:szCs w:val="28"/>
        </w:rPr>
        <w:t>换乘轨道交通</w:t>
      </w:r>
      <w:r>
        <w:rPr>
          <w:rFonts w:cs="Times New Roman"/>
          <w:szCs w:val="28"/>
        </w:rPr>
        <w:t>提供便利</w:t>
      </w:r>
      <w:r>
        <w:rPr>
          <w:rFonts w:hint="eastAsia" w:cs="Times New Roman"/>
          <w:szCs w:val="28"/>
        </w:rPr>
        <w:t>条件。依托文创港平台，开展中运量公交系统研究，促进多方式公交协调发展。推动新增的城市公交车、出租汽车、物流配送车辆采用新能源，到2025年，全区公交车清洁能源化比例达到75%以上，出租车（巡游出租车）基本实现清洁能源化。倡导</w:t>
      </w:r>
      <w:r>
        <w:rPr>
          <w:rFonts w:cs="Times New Roman"/>
          <w:szCs w:val="28"/>
        </w:rPr>
        <w:t>公众购置新能源车辆，</w:t>
      </w:r>
      <w:r>
        <w:rPr>
          <w:rFonts w:hint="eastAsia" w:cs="Times New Roman"/>
          <w:szCs w:val="28"/>
        </w:rPr>
        <w:t>推进综合供能服务站、充电桩等基础设施建设</w:t>
      </w:r>
      <w:r>
        <w:rPr>
          <w:rFonts w:cs="Times New Roman"/>
          <w:szCs w:val="28"/>
        </w:rPr>
        <w:t>。</w:t>
      </w:r>
      <w:r>
        <w:rPr>
          <w:rFonts w:hint="eastAsia" w:cs="Times New Roman"/>
          <w:szCs w:val="28"/>
        </w:rPr>
        <w:t>完善</w:t>
      </w:r>
      <w:r>
        <w:rPr>
          <w:rFonts w:cs="Times New Roman"/>
          <w:szCs w:val="28"/>
        </w:rPr>
        <w:t>慢行交通</w:t>
      </w:r>
      <w:r>
        <w:rPr>
          <w:rFonts w:hint="eastAsia" w:cs="Times New Roman"/>
          <w:szCs w:val="28"/>
        </w:rPr>
        <w:t>城市</w:t>
      </w:r>
      <w:r>
        <w:rPr>
          <w:rFonts w:cs="Times New Roman"/>
          <w:szCs w:val="28"/>
        </w:rPr>
        <w:t>基础设施建设</w:t>
      </w:r>
      <w:r>
        <w:rPr>
          <w:rFonts w:hint="eastAsia" w:cs="Times New Roman"/>
          <w:szCs w:val="28"/>
        </w:rPr>
        <w:t>，实现慢行与公交、景观的有机衔接</w:t>
      </w:r>
      <w:r>
        <w:rPr>
          <w:rFonts w:cs="Times New Roman"/>
          <w:szCs w:val="28"/>
        </w:rPr>
        <w:t>。加强公众绿色出行宣传，营造绿色出行氛围</w:t>
      </w:r>
      <w:r>
        <w:rPr>
          <w:rFonts w:hint="eastAsia" w:cs="Times New Roman"/>
          <w:szCs w:val="28"/>
        </w:rPr>
        <w:t>，到2025年，城市公共交通占机动化出行比例达到</w:t>
      </w:r>
      <w:r>
        <w:rPr>
          <w:rFonts w:cs="Times New Roman"/>
          <w:szCs w:val="28"/>
        </w:rPr>
        <w:t>40%以上。</w:t>
      </w:r>
    </w:p>
    <w:p>
      <w:pPr>
        <w:spacing w:line="384" w:lineRule="auto"/>
        <w:ind w:firstLine="602" w:firstLineChars="200"/>
        <w:rPr>
          <w:rFonts w:cs="Times New Roman"/>
          <w:szCs w:val="28"/>
        </w:rPr>
      </w:pPr>
      <w:r>
        <w:rPr>
          <w:rFonts w:hint="eastAsia" w:cs="Times New Roman"/>
          <w:b/>
          <w:szCs w:val="28"/>
        </w:rPr>
        <w:t>倡导绿色产品消费。</w:t>
      </w:r>
      <w:r>
        <w:rPr>
          <w:rFonts w:hint="eastAsia" w:cs="Times New Roman"/>
          <w:szCs w:val="28"/>
        </w:rPr>
        <w:t>积极推行绿色产品政府采购制度，加大绿色产品相关标准在政府采购中的运用，</w:t>
      </w:r>
      <w:r>
        <w:rPr>
          <w:rFonts w:cs="Times New Roman"/>
          <w:szCs w:val="28"/>
        </w:rPr>
        <w:t>优先采购国家、省、市推荐的节能、环保产品</w:t>
      </w:r>
      <w:r>
        <w:rPr>
          <w:rFonts w:hint="eastAsia" w:cs="Times New Roman"/>
          <w:szCs w:val="28"/>
        </w:rPr>
        <w:t>，</w:t>
      </w:r>
      <w:r>
        <w:rPr>
          <w:rFonts w:cs="Times New Roman"/>
          <w:szCs w:val="28"/>
        </w:rPr>
        <w:t>政府绿色采购比例持续保持在</w:t>
      </w:r>
      <w:r>
        <w:rPr>
          <w:rFonts w:hint="eastAsia" w:cs="Times New Roman"/>
          <w:szCs w:val="28"/>
        </w:rPr>
        <w:t>90</w:t>
      </w:r>
      <w:r>
        <w:rPr>
          <w:rFonts w:cs="Times New Roman"/>
          <w:szCs w:val="28"/>
        </w:rPr>
        <w:t>%以上</w:t>
      </w:r>
      <w:r>
        <w:rPr>
          <w:rFonts w:hint="eastAsia" w:cs="Times New Roman"/>
          <w:szCs w:val="28"/>
        </w:rPr>
        <w:t>。国有企业率先执行企业绿色采购指南，建立健全绿色采购管理制度。建立完善节能家电、高效照明产品、节水器具、绿色建材等绿色产品和新能源汽车推广机制，探索制定对消费者购置节能型家电产品、节能新能源汽车、节水器具等给予适当支持的</w:t>
      </w:r>
      <w:r>
        <w:rPr>
          <w:rFonts w:cs="Times New Roman"/>
          <w:szCs w:val="28"/>
        </w:rPr>
        <w:t>相关政策</w:t>
      </w:r>
      <w:r>
        <w:rPr>
          <w:rFonts w:hint="eastAsia" w:cs="Times New Roman"/>
          <w:szCs w:val="28"/>
        </w:rPr>
        <w:t>。</w:t>
      </w:r>
    </w:p>
    <w:p>
      <w:pPr>
        <w:spacing w:line="384" w:lineRule="auto"/>
        <w:ind w:firstLine="602" w:firstLineChars="200"/>
        <w:rPr>
          <w:rFonts w:cs="Times New Roman"/>
          <w:szCs w:val="28"/>
        </w:rPr>
      </w:pPr>
      <w:r>
        <w:rPr>
          <w:rFonts w:hint="eastAsia" w:cs="Times New Roman"/>
          <w:b/>
          <w:szCs w:val="28"/>
        </w:rPr>
        <w:t>全面推进生活垃圾分类工作。</w:t>
      </w:r>
      <w:r>
        <w:rPr>
          <w:rFonts w:hint="eastAsia" w:cs="Times New Roman"/>
          <w:szCs w:val="28"/>
        </w:rPr>
        <w:t>实施生活垃圾强制分类，近期</w:t>
      </w:r>
      <w:r>
        <w:rPr>
          <w:rFonts w:cs="Times New Roman"/>
          <w:szCs w:val="28"/>
        </w:rPr>
        <w:t>新增省级</w:t>
      </w:r>
      <w:r>
        <w:rPr>
          <w:rFonts w:hint="eastAsia" w:cs="Times New Roman"/>
          <w:szCs w:val="28"/>
        </w:rPr>
        <w:t>生活垃圾</w:t>
      </w:r>
      <w:r>
        <w:rPr>
          <w:rFonts w:cs="Times New Roman"/>
          <w:szCs w:val="28"/>
        </w:rPr>
        <w:t>分类高标准小区</w:t>
      </w:r>
      <w:r>
        <w:rPr>
          <w:rFonts w:hint="eastAsia" w:cs="Times New Roman"/>
          <w:szCs w:val="28"/>
        </w:rPr>
        <w:t>38个</w:t>
      </w:r>
      <w:r>
        <w:rPr>
          <w:rFonts w:cs="Times New Roman"/>
          <w:szCs w:val="28"/>
        </w:rPr>
        <w:t>，</w:t>
      </w:r>
      <w:r>
        <w:rPr>
          <w:rFonts w:hint="eastAsia" w:cs="Times New Roman"/>
          <w:szCs w:val="28"/>
        </w:rPr>
        <w:t>分类</w:t>
      </w:r>
      <w:r>
        <w:rPr>
          <w:rFonts w:cs="Times New Roman"/>
          <w:szCs w:val="28"/>
        </w:rPr>
        <w:t>示范片区</w:t>
      </w:r>
      <w:r>
        <w:rPr>
          <w:rFonts w:hint="eastAsia" w:cs="Times New Roman"/>
          <w:szCs w:val="28"/>
        </w:rPr>
        <w:t>3个</w:t>
      </w:r>
      <w:r>
        <w:rPr>
          <w:rFonts w:cs="Times New Roman"/>
          <w:szCs w:val="28"/>
        </w:rPr>
        <w:t>，</w:t>
      </w:r>
      <w:r>
        <w:rPr>
          <w:rFonts w:hint="eastAsia" w:cs="Times New Roman"/>
          <w:szCs w:val="28"/>
        </w:rPr>
        <w:t>新增生活垃圾分类</w:t>
      </w:r>
      <w:r>
        <w:rPr>
          <w:rFonts w:cs="Times New Roman"/>
          <w:szCs w:val="28"/>
        </w:rPr>
        <w:t>市级示范小区</w:t>
      </w:r>
      <w:r>
        <w:rPr>
          <w:rFonts w:hint="eastAsia" w:cs="Times New Roman"/>
          <w:szCs w:val="28"/>
        </w:rPr>
        <w:t>76个，</w:t>
      </w:r>
      <w:r>
        <w:rPr>
          <w:rFonts w:cs="Times New Roman"/>
          <w:szCs w:val="28"/>
        </w:rPr>
        <w:t>全区</w:t>
      </w:r>
      <w:r>
        <w:rPr>
          <w:rFonts w:hint="eastAsia" w:cs="Times New Roman"/>
          <w:szCs w:val="28"/>
        </w:rPr>
        <w:t>医院</w:t>
      </w:r>
      <w:r>
        <w:rPr>
          <w:rFonts w:cs="Times New Roman"/>
          <w:szCs w:val="28"/>
        </w:rPr>
        <w:t>、国有企业</w:t>
      </w:r>
      <w:r>
        <w:rPr>
          <w:rFonts w:hint="eastAsia" w:cs="Times New Roman"/>
          <w:szCs w:val="28"/>
        </w:rPr>
        <w:t>全面</w:t>
      </w:r>
      <w:r>
        <w:rPr>
          <w:rFonts w:cs="Times New Roman"/>
          <w:szCs w:val="28"/>
        </w:rPr>
        <w:t>创成</w:t>
      </w:r>
      <w:r>
        <w:rPr>
          <w:rFonts w:hint="eastAsia" w:cs="Times New Roman"/>
          <w:szCs w:val="28"/>
        </w:rPr>
        <w:t>市级</w:t>
      </w:r>
      <w:r>
        <w:rPr>
          <w:rFonts w:cs="Times New Roman"/>
          <w:szCs w:val="28"/>
        </w:rPr>
        <w:t>生活垃圾分类示范单位</w:t>
      </w:r>
      <w:r>
        <w:rPr>
          <w:rFonts w:hint="eastAsia" w:cs="Times New Roman"/>
          <w:szCs w:val="28"/>
        </w:rPr>
        <w:t>。通过全方位、立体式宣传，提高城乡生活垃圾分类知晓率和参与度，规范生活垃圾分类投放行为，开展</w:t>
      </w:r>
      <w:r>
        <w:rPr>
          <w:rFonts w:cs="Times New Roman"/>
          <w:szCs w:val="28"/>
        </w:rPr>
        <w:t>沿街店铺</w:t>
      </w:r>
      <w:r>
        <w:rPr>
          <w:rFonts w:hint="eastAsia" w:cs="Times New Roman"/>
          <w:szCs w:val="28"/>
        </w:rPr>
        <w:t>“三桶”行动</w:t>
      </w:r>
      <w:r>
        <w:rPr>
          <w:rFonts w:cs="Times New Roman"/>
          <w:szCs w:val="28"/>
        </w:rPr>
        <w:t>与</w:t>
      </w:r>
      <w:r>
        <w:rPr>
          <w:rFonts w:hint="eastAsia" w:cs="Times New Roman"/>
          <w:szCs w:val="28"/>
        </w:rPr>
        <w:t>居住</w:t>
      </w:r>
      <w:r>
        <w:rPr>
          <w:rFonts w:cs="Times New Roman"/>
          <w:szCs w:val="28"/>
        </w:rPr>
        <w:t>小区源头提质</w:t>
      </w:r>
      <w:r>
        <w:rPr>
          <w:rFonts w:hint="eastAsia" w:cs="Times New Roman"/>
          <w:szCs w:val="28"/>
        </w:rPr>
        <w:t>行动。加快生活垃圾清运和再生资源回收两网融合，开展“互联网+再生资源回收”模式建设，农村</w:t>
      </w:r>
      <w:r>
        <w:rPr>
          <w:rFonts w:cs="Times New Roman"/>
          <w:szCs w:val="28"/>
        </w:rPr>
        <w:t>再生资源回收站</w:t>
      </w:r>
      <w:r>
        <w:rPr>
          <w:rFonts w:hint="eastAsia" w:cs="Times New Roman"/>
          <w:szCs w:val="28"/>
        </w:rPr>
        <w:t>按照2000户</w:t>
      </w:r>
      <w:r>
        <w:rPr>
          <w:rFonts w:cs="Times New Roman"/>
          <w:szCs w:val="28"/>
        </w:rPr>
        <w:t>设置</w:t>
      </w:r>
      <w:r>
        <w:rPr>
          <w:rFonts w:hint="eastAsia" w:cs="Times New Roman"/>
          <w:szCs w:val="28"/>
        </w:rPr>
        <w:t>1个的</w:t>
      </w:r>
      <w:r>
        <w:rPr>
          <w:rFonts w:cs="Times New Roman"/>
          <w:szCs w:val="28"/>
        </w:rPr>
        <w:t>标准，实现</w:t>
      </w:r>
      <w:r>
        <w:rPr>
          <w:rFonts w:hint="eastAsia" w:cs="Times New Roman"/>
          <w:szCs w:val="28"/>
        </w:rPr>
        <w:t>农村区域全覆盖</w:t>
      </w:r>
      <w:r>
        <w:rPr>
          <w:rFonts w:cs="Times New Roman"/>
          <w:szCs w:val="28"/>
        </w:rPr>
        <w:t>。</w:t>
      </w:r>
      <w:r>
        <w:rPr>
          <w:rFonts w:hint="eastAsia" w:cs="Times New Roman"/>
          <w:szCs w:val="28"/>
        </w:rPr>
        <w:t>做好生活垃圾</w:t>
      </w:r>
      <w:r>
        <w:rPr>
          <w:rFonts w:cs="Times New Roman"/>
          <w:szCs w:val="28"/>
        </w:rPr>
        <w:t>增量控制工作</w:t>
      </w:r>
      <w:r>
        <w:rPr>
          <w:rFonts w:hint="eastAsia" w:cs="Times New Roman"/>
          <w:szCs w:val="28"/>
        </w:rPr>
        <w:t>，逐年降低生活垃圾产生增长速度，逐步推行生活垃圾处理收费制度，努力实现生活垃圾“零增长”。</w:t>
      </w:r>
    </w:p>
    <w:p>
      <w:pPr>
        <w:spacing w:line="384" w:lineRule="auto"/>
        <w:ind w:firstLine="600" w:firstLineChars="200"/>
        <w:rPr>
          <w:rFonts w:cs="Times New Roman"/>
          <w:szCs w:val="28"/>
        </w:rPr>
        <w:sectPr>
          <w:footerReference r:id="rId9" w:type="default"/>
          <w:pgSz w:w="11906" w:h="16838"/>
          <w:pgMar w:top="1440" w:right="1800" w:bottom="1440" w:left="1800" w:header="851" w:footer="992" w:gutter="0"/>
          <w:cols w:space="425" w:num="1"/>
          <w:docGrid w:type="lines" w:linePitch="312" w:charSpace="0"/>
        </w:sectPr>
      </w:pPr>
    </w:p>
    <w:p>
      <w:pPr>
        <w:pStyle w:val="2"/>
        <w:rPr>
          <w:rFonts w:eastAsia="仿宋_GB2312"/>
        </w:rPr>
      </w:pPr>
      <w:r>
        <w:rPr>
          <w:rFonts w:eastAsia="仿宋_GB2312"/>
        </w:rPr>
        <w:t xml:space="preserve"> </w:t>
      </w:r>
      <w:r>
        <w:rPr>
          <w:rFonts w:hint="eastAsia" w:eastAsia="仿宋_GB2312"/>
        </w:rPr>
        <w:t xml:space="preserve"> </w:t>
      </w:r>
      <w:bookmarkStart w:id="68" w:name="_Toc66031127"/>
      <w:r>
        <w:rPr>
          <w:rFonts w:hint="eastAsia" w:eastAsia="仿宋_GB2312"/>
        </w:rPr>
        <w:t>弘扬独具特色的生态文化</w:t>
      </w:r>
      <w:bookmarkEnd w:id="68"/>
    </w:p>
    <w:p>
      <w:pPr>
        <w:pStyle w:val="3"/>
        <w:numPr>
          <w:ilvl w:val="0"/>
          <w:numId w:val="15"/>
        </w:numPr>
      </w:pPr>
      <w:bookmarkStart w:id="69" w:name="_Toc66031128"/>
      <w:r>
        <w:rPr>
          <w:rFonts w:hint="eastAsia"/>
        </w:rPr>
        <w:t>保护传承传统生态文化</w:t>
      </w:r>
      <w:bookmarkEnd w:id="69"/>
    </w:p>
    <w:p>
      <w:pPr>
        <w:spacing w:line="384" w:lineRule="auto"/>
        <w:ind w:firstLine="602" w:firstLineChars="200"/>
        <w:rPr>
          <w:rFonts w:cs="Times New Roman"/>
          <w:szCs w:val="28"/>
        </w:rPr>
      </w:pPr>
      <w:r>
        <w:rPr>
          <w:rFonts w:hint="eastAsia" w:cs="Times New Roman"/>
          <w:b/>
          <w:szCs w:val="28"/>
        </w:rPr>
        <w:t>挖掘保护生态文化资源。</w:t>
      </w:r>
      <w:r>
        <w:rPr>
          <w:rFonts w:hint="eastAsia" w:cs="Times New Roman"/>
          <w:szCs w:val="28"/>
        </w:rPr>
        <w:t>借力浙江诗路文化带和大运河文化带建设，推进江北区文化基因解码工程，围绕世界文化遗产大运河（江北部分）、泛老外滩、慈城古镇、保国寺、洪塘多彩构筑小镇等区域， ，开展传统生态文化资源普查，做好生态文化资源库和重点目录建设工作，整理出版生态文化典籍，加快历年报刊的数字化建设。重点加强慈江、官山河、三江口、小西坝、压赛堰等世界文化遗产历史遗迹，慈城镇（半浦村）等历史文化名镇（名村），天主教堂外马路等历史文化街区（地段）的保护，积极争创省级文化传承生态保护区。</w:t>
      </w:r>
    </w:p>
    <w:p>
      <w:pPr>
        <w:spacing w:line="384" w:lineRule="auto"/>
        <w:ind w:firstLine="602" w:firstLineChars="200"/>
        <w:rPr>
          <w:rFonts w:cs="Times New Roman"/>
          <w:szCs w:val="28"/>
        </w:rPr>
      </w:pPr>
      <w:r>
        <w:rPr>
          <w:rFonts w:hint="eastAsia" w:cs="Times New Roman"/>
          <w:b/>
          <w:szCs w:val="28"/>
        </w:rPr>
        <w:t>传承丰富生态文化价值。</w:t>
      </w:r>
      <w:r>
        <w:rPr>
          <w:rFonts w:hint="eastAsia" w:cs="Times New Roman"/>
          <w:szCs w:val="28"/>
        </w:rPr>
        <w:t>围绕“浙江诗路文化带”建设，以慈江、官山河为线索，深挖慈城古镇药商文化、慈孝文化、非遗文化和保国寺古建筑文化，充分利用运河风光、历史传说等内容素材，谋划建设大运河绘本小镇。利用荪湖南侧水系，串联浙东大运河沿线的水利设施、古桥等站点，沿水系布置微缩运河科普站，集中展示浙东大运河沿岸各地的地方戏曲、杂技、老行当和民间艺术等民俗文化，打造运河水街。依托半浦村和半浦小学，引入国学孵化器概念，完善以国学、国风、国画、国韵、国术、国医为主题的国学教程，开启蒙学教育，举办国学研讨会，保护利用小西坝遗址，充分挖掘大运河文化资源价值，打造集文化历史、民俗风情、探索休闲旅游于一体的运河文化遗址探索园；实施慈城古镇“千年古城”复兴计划，以项目+文化为导向，分类分级保护和修复孔庙、忠义孝悌祠等具有时代印迹的生态文化形态，多措并举复兴药商文化，发展中草药种植，建设慈城古县城中医药特色基地，定期组织中医药专家开展义诊活动、东阿阿胶等中药现场熬胶展示、佐立医药颗粒熬胶现场展示、中医药健康讲座等活动。做大做强慈孝文化，依托保国寺、清道观等千年古刹、古观，建立全国性慈孝文化的研究机构，定期开展常态化交流，继续办好中华慈孝节文化活动。</w:t>
      </w:r>
    </w:p>
    <w:p>
      <w:pPr>
        <w:pStyle w:val="3"/>
        <w:numPr>
          <w:ilvl w:val="0"/>
          <w:numId w:val="15"/>
        </w:numPr>
      </w:pPr>
      <w:bookmarkStart w:id="70" w:name="_Toc66031129"/>
      <w:r>
        <w:rPr>
          <w:rFonts w:hint="eastAsia"/>
        </w:rPr>
        <w:t>弘扬倡导“两山”文化</w:t>
      </w:r>
      <w:bookmarkEnd w:id="70"/>
    </w:p>
    <w:p>
      <w:pPr>
        <w:spacing w:line="384" w:lineRule="auto"/>
        <w:ind w:firstLine="602" w:firstLineChars="200"/>
        <w:rPr>
          <w:rFonts w:cs="Times New Roman"/>
          <w:szCs w:val="28"/>
        </w:rPr>
      </w:pPr>
      <w:r>
        <w:rPr>
          <w:rFonts w:hint="eastAsia" w:cs="Times New Roman"/>
          <w:b/>
          <w:szCs w:val="28"/>
        </w:rPr>
        <w:t>打造“两山”文化国际品牌。</w:t>
      </w:r>
      <w:r>
        <w:rPr>
          <w:rFonts w:hint="eastAsia" w:cs="Times New Roman"/>
          <w:szCs w:val="28"/>
        </w:rPr>
        <w:t>借力宁波文创港、宁波音乐港、外滩时尚港等“三港”资源优势，结合宁波历史运河文化、民俗文化、音乐文化等文化元素，提升改造城市公园，丰富城市微景观，营造差异化文化景观，突出地方文化内涵。以宁波大剧院为中心，“三港”联动，谋划建立中国新乡村音乐总部基地，推动建设长三角音乐时尚消费中心，打造“一带一路”国际音乐合作交易平台。策划举办时尚秀、艺术季等系列文化活动，培育一批新兴文化品牌和滨江艺术人文嘉年华活动，继续办好海丝国际音乐节，打造享誉国内外的时尚文化品牌；依托北山区域丰富的山水资源，谋划建设养老机构、旅居养老、文体健康综合体，吸引沪杭知名医院在北设立医疗康复基地。做大运动健康市场，开展山地户外运动、自行车运动、马拉松运动、水上项目等户外体育运动专项培育，聚焦体育赛事功能，依托宁波奥体中心等文化体育基地，打造一批具有区域影响力的品牌赛事和特色赛事。</w:t>
      </w:r>
    </w:p>
    <w:p>
      <w:pPr>
        <w:spacing w:line="384" w:lineRule="auto"/>
        <w:ind w:firstLine="602" w:firstLineChars="200"/>
      </w:pPr>
      <w:r>
        <w:rPr>
          <w:rFonts w:hint="eastAsia"/>
          <w:b/>
        </w:rPr>
        <w:t>促进“两山”文化融合发展。</w:t>
      </w:r>
      <w:r>
        <w:rPr>
          <w:rFonts w:hint="eastAsia"/>
        </w:rPr>
        <w:t>借势江北“农旅融合”战略，打造农文旅高度融合的都市田园，重点打造荪湖-保国寺都市田园、北山原乡康养、庄桥和甬江近郊人文休闲、姚江农业公园四大区块。荪湖-保国寺都市田园区块，整合沿线灵山村、安山村、荪湖村等村庄、山林、水库等资源，充分挖掘禅修文化，以灵山寺-保国寺-小灵峰寺为主要载体，围绕禅修、精心度假、素食斋苑等主题，打造近郊禅修养心度假基地；北山原乡康养区块，整合利用云湖四村、鄮湖二村、五湖村、五星村、八字村等村庄、山林、水库等资源，充分挖掘慈孝文化、药商文化，以云湖四村、鄮湖二村、绿野仙踪为主要载体，打造长三角高品质的健康运动、养生度假、山水游憩于一体的农村旅游度假区；庄桥和甬江近郊人文休闲区块，充分挖掘农耕文化，以宁波城市庄园</w:t>
      </w:r>
      <w:r>
        <w:rPr>
          <w:rFonts w:hint="eastAsia" w:ascii="微软雅黑" w:hAnsi="微软雅黑" w:eastAsia="微软雅黑" w:cs="微软雅黑"/>
        </w:rPr>
        <w:t>•</w:t>
      </w:r>
      <w:r>
        <w:rPr>
          <w:rFonts w:hint="eastAsia" w:ascii="楷体" w:hAnsi="楷体" w:cs="楷体"/>
        </w:rPr>
        <w:t>欢乐乡村为主要载体，打造农文旅融合发展的重要示范园；姚江农业公园区块，充分挖</w:t>
      </w:r>
      <w:r>
        <w:rPr>
          <w:rFonts w:hint="eastAsia"/>
        </w:rPr>
        <w:t>掘运河文化，以半浦村、三勤村、王家坝村为主要载体，打造休闲采摘、科普教育、创意园艺、水生植物科普观光、极限运动体验等功能于一体的国家级农业公园。</w:t>
      </w:r>
    </w:p>
    <w:p>
      <w:pPr>
        <w:pStyle w:val="3"/>
        <w:numPr>
          <w:ilvl w:val="0"/>
          <w:numId w:val="15"/>
        </w:numPr>
      </w:pPr>
      <w:bookmarkStart w:id="71" w:name="_Toc66031130"/>
      <w:r>
        <w:rPr>
          <w:rFonts w:hint="eastAsia"/>
        </w:rPr>
        <w:t>加强生态文明教育培训</w:t>
      </w:r>
      <w:bookmarkEnd w:id="71"/>
    </w:p>
    <w:p>
      <w:pPr>
        <w:spacing w:line="384" w:lineRule="auto"/>
        <w:ind w:firstLine="602" w:firstLineChars="200"/>
      </w:pPr>
      <w:r>
        <w:rPr>
          <w:rFonts w:hint="eastAsia"/>
          <w:b/>
        </w:rPr>
        <w:t>加强党政机关生态文明教育。</w:t>
      </w:r>
      <w:r>
        <w:rPr>
          <w:rFonts w:hint="eastAsia"/>
        </w:rPr>
        <w:t>依托江北干部党员学习网、党校等教育载体，加大生态文明教育培训力度，在党政干部日常培训、轮训中增加生态文明相关培训课时，重点加强对新录用公务人员和基层村镇干部进行生态文明教育；利用市民大讲堂以上大课的形式，提高党政干部生态文明建设理论知识，强化生态文明素养；进一步加强“学习强国”平台推广使用，确保党政机关领导干部注册认证和使用率达 100%。建立良好的生态文明交流机制，定期组织党政干部到国内外先进的生态文明城市参观学习和经验交流，提升生态文明建设的认识水平，增强领导干部的生态文明意识；加强与高校及科研院所的合作机制，聘请专家举办生态文明讲座对党政干部进行生态文明新概念、生态文明意识、生态文明行为等培训和教育，更新了解国内生态文明建设研究理论成果。</w:t>
      </w:r>
    </w:p>
    <w:p>
      <w:pPr>
        <w:spacing w:line="384" w:lineRule="auto"/>
        <w:ind w:firstLine="602" w:firstLineChars="200"/>
      </w:pPr>
      <w:r>
        <w:rPr>
          <w:rFonts w:hint="eastAsia"/>
          <w:b/>
        </w:rPr>
        <w:t>开展社会公众生态文明教育</w:t>
      </w:r>
      <w:r>
        <w:rPr>
          <w:rFonts w:hint="eastAsia"/>
        </w:rPr>
        <w:t>。开展全民生态文明教育，推动生态文明理念进企业、进学校、进社区（村），不断提升生态文明理念的认知水平，营造全民参与生态文明建设的良好氛围。创新学校生态文明主题教育，把生态文明教育纳入学生素质教育，认证一批公民环境教育讲师专业师资；重视企业生态文明教育，加强对企业法人、职工的生态文明教育培训，重点开展节能减排、清洁生产有关技术和管理方法培训；推进基层生态文明教育，设立社区（村）生态文明主题展示区、宣传栏，开展环保宣传活动，养成生态文明习惯，践行绿色生活方式。</w:t>
      </w:r>
    </w:p>
    <w:p>
      <w:pPr>
        <w:spacing w:line="384" w:lineRule="auto"/>
        <w:ind w:firstLine="602" w:firstLineChars="200"/>
      </w:pPr>
      <w:r>
        <w:rPr>
          <w:rFonts w:hint="eastAsia"/>
          <w:b/>
        </w:rPr>
        <w:t>积极创建生态文明教育平台。</w:t>
      </w:r>
      <w:r>
        <w:rPr>
          <w:rFonts w:hint="eastAsia"/>
        </w:rPr>
        <w:t>依据区域发展总体规划和文化资源、自然景观的空间布局，以污染治理、生态保护、循环经济和文化生态为主题，对生态资源和文化资源比较集中的地区进行规划设计，建设各具特色的生态文化教育基地。通过英雄水库、北山休闲游步道、荪湖旅游度假区等自然生态保护类场所，融入低碳文化元素，塑造生态文化符号，增设生态文明标识、环保宣传长廊等生态文明宣教设施，打造生态化、人性化、特色化的生态文化普及宣教场馆。各类生态文化宣教基地充分利用生态资源、网络平台、通讯和图文书籍等社会教育资源，积极制作环保公益片，组织环保宣传活动，大力传播生态知识、生态技术、生态伦理和生态文明建设信息。</w:t>
      </w:r>
    </w:p>
    <w:p>
      <w:pPr>
        <w:pStyle w:val="3"/>
        <w:numPr>
          <w:ilvl w:val="0"/>
          <w:numId w:val="15"/>
        </w:numPr>
      </w:pPr>
      <w:bookmarkStart w:id="72" w:name="_Toc66031131"/>
      <w:r>
        <w:rPr>
          <w:rFonts w:hint="eastAsia"/>
        </w:rPr>
        <w:t>提高生态文明宣传力度</w:t>
      </w:r>
      <w:bookmarkEnd w:id="72"/>
    </w:p>
    <w:p>
      <w:pPr>
        <w:spacing w:line="384" w:lineRule="auto"/>
        <w:ind w:firstLine="602" w:firstLineChars="200"/>
      </w:pPr>
      <w:r>
        <w:rPr>
          <w:rFonts w:hint="eastAsia"/>
          <w:b/>
        </w:rPr>
        <w:t>构建生态文明宣教格局。</w:t>
      </w:r>
      <w:r>
        <w:rPr>
          <w:rFonts w:hint="eastAsia"/>
        </w:rPr>
        <w:t>依托宁波美术馆、宁波大剧院、宁波奥体中心、江北区文化中心等重要文化设施以及镇（街道）综合文化站、农村文化礼堂、游客中心等场所，设立生态文明主题展示区或宣传栏，建设生态文明宣教阵地体系，根据不同区域各自的特点进行宣教。泛老外滩片区（文教-外滩-孔浦街道），结合历史街区、地段，重点宣教海派文化、音乐文化、时尚文化；慈城-洪塘街道北部片区，结合北山游步道、古县衙、荪湖度假区、保国寺，重点宣教生态保护、慈孝文化、药商文化、古建筑文化、禅修文化；慈城-前洋等片区，结合浙江前洋经济开发区、宁波（江北）高新技术产业园区、江北区生活垃圾分类转运站，重点宣教生态工业、循环经济、绿色生活方式；大运河（江北部分）片区，结合半浦古村、句章港遗址、小西坝遗址、压赛堰，重点宣教运河文化；甬江</w:t>
      </w:r>
      <w:r>
        <w:t>-</w:t>
      </w:r>
      <w:r>
        <w:rPr>
          <w:rFonts w:hint="eastAsia"/>
        </w:rPr>
        <w:t>庄桥街道北片片，结合宁波城市庄园</w:t>
      </w:r>
      <w:r>
        <w:rPr>
          <w:rFonts w:hint="cs"/>
        </w:rPr>
        <w:t>•</w:t>
      </w:r>
      <w:r>
        <w:rPr>
          <w:rFonts w:hint="eastAsia"/>
        </w:rPr>
        <w:t>欢乐乡村，重点宣教民俗文化、农耕文化。</w:t>
      </w:r>
    </w:p>
    <w:p>
      <w:pPr>
        <w:spacing w:line="384" w:lineRule="auto"/>
        <w:ind w:firstLine="602" w:firstLineChars="200"/>
      </w:pPr>
      <w:r>
        <w:rPr>
          <w:rFonts w:hint="eastAsia"/>
          <w:b/>
        </w:rPr>
        <w:t>深化多点多级示范创建。</w:t>
      </w:r>
      <w:r>
        <w:rPr>
          <w:rFonts w:hint="eastAsia"/>
        </w:rPr>
        <w:t>大力开展生态文明建设示范区、卫生城市、园林城市、文明城市、森林城市等建设。积极开展国家级生态文明示范区，生态工业示范园区创建，推动完成浙江前洋经济开发区、宁波（江北）高新技术产业园区循环化改造；拓展“绿色细胞”创建形式和方式，在全区范围内开展节约型机关、绿色家庭、绿色学校、绿色医院、绿色社区、绿色商场、绿色出行、绿色建筑等创建行动，发挥政府、企业、公众等各类创建主体的作用，提高创建效果，将生态文明建设渗透到社会生活的各个领域。</w:t>
      </w:r>
    </w:p>
    <w:p>
      <w:pPr>
        <w:spacing w:line="384" w:lineRule="auto"/>
        <w:ind w:firstLine="602" w:firstLineChars="200"/>
      </w:pPr>
      <w:r>
        <w:rPr>
          <w:rFonts w:hint="eastAsia"/>
          <w:b/>
        </w:rPr>
        <w:t>广泛宣传生态文明理念。</w:t>
      </w:r>
      <w:r>
        <w:rPr>
          <w:rFonts w:hint="eastAsia"/>
        </w:rPr>
        <w:t>构建互联网、报刊、电视、广播、户外广告多重覆盖的立体宣传网络开展多层次、多形式的生态文明科普宣传和媒体传播；联合各大文化团体，组织文艺工作者深入基层，开展生态文化采风活动开展各类文艺作品征集展演活动；广泛开展绿色生活行动，在衣食住行等方面全方位开展绿色革命，推动生活方式和消费模式向勤俭节约、绿色低碳、文明健康的方向转变，努力形成生态文明的价值追求和社会新风尚。</w:t>
      </w:r>
    </w:p>
    <w:p>
      <w:pPr>
        <w:spacing w:line="384" w:lineRule="auto"/>
        <w:ind w:firstLine="602" w:firstLineChars="200"/>
      </w:pPr>
      <w:r>
        <w:rPr>
          <w:rFonts w:hint="eastAsia"/>
          <w:b/>
        </w:rPr>
        <w:t>建立健全公众参与方式</w:t>
      </w:r>
      <w:r>
        <w:rPr>
          <w:rFonts w:hint="eastAsia"/>
        </w:rPr>
        <w:t>。发挥“12369”环保举报热线作用，畅通来电、来信、来访、微博微信、网络等举报通道，完善举报反馈机制，制定实施生态环境违法行为举报奖励办法，严格落实举报人保护制度；培育提供环境公益服务的非营利性社会组织，引导公众参与生态环保事业，及时劝阻、制止破坏生态环境行为，争做生态文明建设的倡导者、行动者、示范者；加强生态环境部门与环保社会组织之间的沟通与合作，构建政府、企业、公众和媒体间的访谈“圆桌会”，沟通交流平台，形成积极互动、相互支持、密切配合的局面；积极探索公众参与模式，采取社会捐赠等方式设立“绿色生活基金”，推广“绿币兑换”长效运行机制，建立生态绿币兑换小屋，实施公民生态“绿码”激励方式。</w:t>
      </w:r>
    </w:p>
    <w:p>
      <w:pPr>
        <w:widowControl/>
        <w:jc w:val="left"/>
      </w:pPr>
      <w:r>
        <w:br w:type="page"/>
      </w:r>
    </w:p>
    <w:p>
      <w:pPr>
        <w:spacing w:line="384" w:lineRule="auto"/>
        <w:ind w:firstLine="600" w:firstLineChars="200"/>
      </w:pPr>
    </w:p>
    <w:bookmarkEnd w:id="37"/>
    <w:p>
      <w:pPr>
        <w:pStyle w:val="2"/>
        <w:ind w:firstLine="643"/>
        <w:rPr>
          <w:rFonts w:eastAsia="仿宋_GB2312"/>
        </w:rPr>
      </w:pPr>
      <w:bookmarkStart w:id="73" w:name="_Toc495421033"/>
      <w:bookmarkStart w:id="74" w:name="_Toc503535078"/>
      <w:bookmarkStart w:id="75" w:name="_Toc66031132"/>
      <w:r>
        <w:rPr>
          <w:rFonts w:eastAsia="仿宋_GB2312"/>
        </w:rPr>
        <w:t>重点</w:t>
      </w:r>
      <w:bookmarkEnd w:id="73"/>
      <w:bookmarkEnd w:id="74"/>
      <w:r>
        <w:rPr>
          <w:rFonts w:hint="eastAsia" w:eastAsia="仿宋_GB2312"/>
        </w:rPr>
        <w:t>项目</w:t>
      </w:r>
      <w:bookmarkEnd w:id="75"/>
    </w:p>
    <w:p>
      <w:pPr>
        <w:spacing w:line="384" w:lineRule="auto"/>
        <w:ind w:firstLine="600" w:firstLineChars="200"/>
        <w:rPr>
          <w:rFonts w:cs="Times New Roman"/>
          <w:szCs w:val="28"/>
        </w:rPr>
        <w:sectPr>
          <w:pgSz w:w="11906" w:h="16838"/>
          <w:pgMar w:top="1440" w:right="1800" w:bottom="1440" w:left="1800" w:header="851" w:footer="992" w:gutter="0"/>
          <w:cols w:space="425" w:num="1"/>
          <w:docGrid w:type="lines" w:linePitch="312" w:charSpace="0"/>
        </w:sectPr>
      </w:pPr>
      <w:r>
        <w:rPr>
          <w:rFonts w:cs="Times New Roman"/>
          <w:szCs w:val="28"/>
        </w:rPr>
        <w:t>在生态文明建设规划内容的基础上，从生态</w:t>
      </w:r>
      <w:r>
        <w:rPr>
          <w:rFonts w:hint="eastAsia" w:cs="Times New Roman"/>
          <w:szCs w:val="28"/>
        </w:rPr>
        <w:t>制度</w:t>
      </w:r>
      <w:r>
        <w:rPr>
          <w:rFonts w:cs="Times New Roman"/>
          <w:szCs w:val="28"/>
        </w:rPr>
        <w:t>、生态</w:t>
      </w:r>
      <w:r>
        <w:rPr>
          <w:rFonts w:hint="eastAsia" w:cs="Times New Roman"/>
          <w:szCs w:val="28"/>
        </w:rPr>
        <w:t>安全</w:t>
      </w:r>
      <w:r>
        <w:rPr>
          <w:rFonts w:cs="Times New Roman"/>
          <w:szCs w:val="28"/>
        </w:rPr>
        <w:t>、生态</w:t>
      </w:r>
      <w:r>
        <w:rPr>
          <w:rFonts w:hint="eastAsia" w:cs="Times New Roman"/>
          <w:szCs w:val="28"/>
        </w:rPr>
        <w:t>空间</w:t>
      </w:r>
      <w:r>
        <w:rPr>
          <w:rFonts w:cs="Times New Roman"/>
          <w:szCs w:val="28"/>
        </w:rPr>
        <w:t>、生态</w:t>
      </w:r>
      <w:r>
        <w:rPr>
          <w:rFonts w:hint="eastAsia" w:cs="Times New Roman"/>
          <w:szCs w:val="28"/>
        </w:rPr>
        <w:t>经济</w:t>
      </w:r>
      <w:r>
        <w:rPr>
          <w:rFonts w:cs="Times New Roman"/>
          <w:szCs w:val="28"/>
        </w:rPr>
        <w:t>、生态</w:t>
      </w:r>
      <w:r>
        <w:rPr>
          <w:rFonts w:hint="eastAsia" w:cs="Times New Roman"/>
          <w:szCs w:val="28"/>
        </w:rPr>
        <w:t>生活</w:t>
      </w:r>
      <w:r>
        <w:rPr>
          <w:rFonts w:cs="Times New Roman"/>
          <w:szCs w:val="28"/>
        </w:rPr>
        <w:t>和生态文化六大方面出发，统筹</w:t>
      </w:r>
      <w:r>
        <w:rPr>
          <w:rFonts w:hint="eastAsia" w:cs="Times New Roman"/>
          <w:szCs w:val="28"/>
        </w:rPr>
        <w:t>生态</w:t>
      </w:r>
      <w:r>
        <w:rPr>
          <w:rFonts w:cs="Times New Roman"/>
          <w:szCs w:val="28"/>
        </w:rPr>
        <w:t>补偿机制建设</w:t>
      </w:r>
      <w:r>
        <w:rPr>
          <w:rFonts w:hint="eastAsia" w:cs="Times New Roman"/>
          <w:szCs w:val="28"/>
        </w:rPr>
        <w:t>、河道整治工程、工业区二次开发、下沉式再生水厂</w:t>
      </w:r>
      <w:r>
        <w:rPr>
          <w:rFonts w:cs="Times New Roman"/>
          <w:szCs w:val="28"/>
        </w:rPr>
        <w:t>等项目共计48项</w:t>
      </w:r>
      <w:r>
        <w:rPr>
          <w:rFonts w:hint="eastAsia" w:cs="Times New Roman"/>
          <w:szCs w:val="28"/>
        </w:rPr>
        <w:t>，</w:t>
      </w:r>
      <w:r>
        <w:rPr>
          <w:rFonts w:cs="Times New Roman"/>
          <w:szCs w:val="28"/>
        </w:rPr>
        <w:t>详见表三。</w:t>
      </w:r>
    </w:p>
    <w:p>
      <w:pPr>
        <w:keepNext/>
        <w:ind w:firstLine="562"/>
        <w:jc w:val="center"/>
        <w:rPr>
          <w:rFonts w:cs="Times New Roman"/>
          <w:b/>
          <w:szCs w:val="28"/>
        </w:rPr>
      </w:pPr>
      <w:r>
        <w:rPr>
          <w:rFonts w:cs="Times New Roman"/>
          <w:b/>
          <w:szCs w:val="28"/>
        </w:rPr>
        <w:t>表三</w:t>
      </w:r>
      <w:r>
        <w:rPr>
          <w:rFonts w:hint="eastAsia" w:cs="Times New Roman"/>
          <w:b/>
          <w:szCs w:val="28"/>
        </w:rPr>
        <w:t xml:space="preserve"> 重点项目</w:t>
      </w:r>
    </w:p>
    <w:tbl>
      <w:tblPr>
        <w:tblStyle w:val="57"/>
        <w:tblW w:w="517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07"/>
        <w:gridCol w:w="520"/>
        <w:gridCol w:w="2422"/>
        <w:gridCol w:w="5315"/>
        <w:gridCol w:w="1609"/>
        <w:gridCol w:w="1474"/>
        <w:gridCol w:w="273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07" w:type="pct"/>
            <w:tcBorders>
              <w:bottom w:val="single" w:color="auto" w:sz="12" w:space="0"/>
              <w:insideH w:val="single" w:sz="12" w:space="0"/>
            </w:tcBorders>
            <w:vAlign w:val="center"/>
          </w:tcPr>
          <w:p>
            <w:pPr>
              <w:pStyle w:val="54"/>
            </w:pPr>
            <w:r>
              <w:t>类别</w:t>
            </w:r>
          </w:p>
        </w:tc>
        <w:tc>
          <w:tcPr>
            <w:tcW w:w="177" w:type="pct"/>
            <w:tcBorders>
              <w:bottom w:val="single" w:color="auto" w:sz="12" w:space="0"/>
              <w:insideH w:val="single" w:sz="12" w:space="0"/>
            </w:tcBorders>
            <w:vAlign w:val="center"/>
          </w:tcPr>
          <w:p>
            <w:pPr>
              <w:pStyle w:val="54"/>
            </w:pPr>
            <w:r>
              <w:t>序号</w:t>
            </w:r>
          </w:p>
        </w:tc>
        <w:tc>
          <w:tcPr>
            <w:tcW w:w="825" w:type="pct"/>
            <w:tcBorders>
              <w:bottom w:val="single" w:color="auto" w:sz="12" w:space="0"/>
              <w:insideH w:val="single" w:sz="12" w:space="0"/>
            </w:tcBorders>
            <w:vAlign w:val="center"/>
          </w:tcPr>
          <w:p>
            <w:pPr>
              <w:pStyle w:val="54"/>
            </w:pPr>
            <w:r>
              <w:t>项目名称</w:t>
            </w:r>
          </w:p>
        </w:tc>
        <w:tc>
          <w:tcPr>
            <w:tcW w:w="1810" w:type="pct"/>
            <w:tcBorders>
              <w:bottom w:val="single" w:color="auto" w:sz="12" w:space="0"/>
              <w:insideH w:val="single" w:sz="12" w:space="0"/>
            </w:tcBorders>
            <w:vAlign w:val="center"/>
          </w:tcPr>
          <w:p>
            <w:pPr>
              <w:pStyle w:val="54"/>
            </w:pPr>
            <w:r>
              <w:t>工作任务</w:t>
            </w:r>
          </w:p>
        </w:tc>
        <w:tc>
          <w:tcPr>
            <w:tcW w:w="548" w:type="pct"/>
            <w:tcBorders>
              <w:bottom w:val="single" w:color="auto" w:sz="12" w:space="0"/>
              <w:insideH w:val="single" w:sz="12" w:space="0"/>
            </w:tcBorders>
            <w:vAlign w:val="center"/>
          </w:tcPr>
          <w:p>
            <w:pPr>
              <w:pStyle w:val="54"/>
            </w:pPr>
            <w:r>
              <w:t>实施年限</w:t>
            </w:r>
          </w:p>
        </w:tc>
        <w:tc>
          <w:tcPr>
            <w:tcW w:w="502" w:type="pct"/>
            <w:tcBorders>
              <w:bottom w:val="single" w:color="auto" w:sz="12" w:space="0"/>
              <w:insideH w:val="single" w:sz="12" w:space="0"/>
            </w:tcBorders>
            <w:vAlign w:val="center"/>
          </w:tcPr>
          <w:p>
            <w:pPr>
              <w:pStyle w:val="54"/>
            </w:pPr>
            <w:r>
              <w:t>投资概算</w:t>
            </w:r>
          </w:p>
          <w:p>
            <w:pPr>
              <w:pStyle w:val="54"/>
            </w:pPr>
            <w:r>
              <w:t>（万元）</w:t>
            </w:r>
          </w:p>
        </w:tc>
        <w:tc>
          <w:tcPr>
            <w:tcW w:w="931" w:type="pct"/>
            <w:tcBorders>
              <w:bottom w:val="single" w:color="auto" w:sz="12" w:space="0"/>
              <w:insideH w:val="single" w:sz="12" w:space="0"/>
            </w:tcBorders>
            <w:vAlign w:val="center"/>
          </w:tcPr>
          <w:p>
            <w:pPr>
              <w:pStyle w:val="54"/>
            </w:pPr>
            <w:r>
              <w:rPr>
                <w:rFonts w:hint="eastAsia"/>
              </w:rPr>
              <w:t>牵头单位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207" w:type="pct"/>
            <w:vMerge w:val="restart"/>
            <w:vAlign w:val="center"/>
          </w:tcPr>
          <w:p>
            <w:pPr>
              <w:pStyle w:val="54"/>
            </w:pPr>
            <w:r>
              <w:t>生态制度体系</w:t>
            </w:r>
          </w:p>
        </w:tc>
        <w:tc>
          <w:tcPr>
            <w:tcW w:w="177" w:type="pct"/>
            <w:vAlign w:val="center"/>
          </w:tcPr>
          <w:p>
            <w:pPr>
              <w:pStyle w:val="54"/>
            </w:pPr>
            <w:r>
              <w:rPr>
                <w:rFonts w:hint="eastAsia"/>
              </w:rPr>
              <w:t>1</w:t>
            </w:r>
          </w:p>
        </w:tc>
        <w:tc>
          <w:tcPr>
            <w:tcW w:w="825" w:type="pct"/>
            <w:vAlign w:val="center"/>
          </w:tcPr>
          <w:p>
            <w:pPr>
              <w:pStyle w:val="54"/>
            </w:pPr>
            <w:r>
              <w:rPr>
                <w:rFonts w:hint="eastAsia"/>
              </w:rPr>
              <w:t>生态补偿机制构建</w:t>
            </w:r>
          </w:p>
        </w:tc>
        <w:tc>
          <w:tcPr>
            <w:tcW w:w="1810" w:type="pct"/>
            <w:vAlign w:val="center"/>
          </w:tcPr>
          <w:p>
            <w:pPr>
              <w:pStyle w:val="54"/>
            </w:pPr>
            <w:r>
              <w:rPr>
                <w:rFonts w:hint="eastAsia"/>
              </w:rPr>
              <w:t>建立市场化、多元化生态补偿机制，开展流域上下游横向生态补偿等多种生态补偿工作</w:t>
            </w:r>
          </w:p>
        </w:tc>
        <w:tc>
          <w:tcPr>
            <w:tcW w:w="548" w:type="pct"/>
            <w:vAlign w:val="center"/>
          </w:tcPr>
          <w:p>
            <w:pPr>
              <w:pStyle w:val="54"/>
            </w:pPr>
            <w:r>
              <w:t>2021-2025</w:t>
            </w:r>
          </w:p>
        </w:tc>
        <w:tc>
          <w:tcPr>
            <w:tcW w:w="502" w:type="pct"/>
            <w:vAlign w:val="center"/>
          </w:tcPr>
          <w:p>
            <w:pPr>
              <w:pStyle w:val="54"/>
            </w:pPr>
            <w:r>
              <w:t>/</w:t>
            </w:r>
          </w:p>
        </w:tc>
        <w:tc>
          <w:tcPr>
            <w:tcW w:w="931" w:type="pct"/>
            <w:vAlign w:val="center"/>
          </w:tcPr>
          <w:p>
            <w:pPr>
              <w:pStyle w:val="54"/>
            </w:pPr>
            <w:r>
              <w:rPr>
                <w:rFonts w:hint="eastAsia"/>
              </w:rPr>
              <w:t>自然资源和规划江北分局、生态环境江北分局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207" w:type="pct"/>
            <w:vMerge w:val="continue"/>
            <w:vAlign w:val="center"/>
          </w:tcPr>
          <w:p>
            <w:pPr>
              <w:pStyle w:val="54"/>
            </w:pPr>
          </w:p>
        </w:tc>
        <w:tc>
          <w:tcPr>
            <w:tcW w:w="177" w:type="pct"/>
            <w:vAlign w:val="center"/>
          </w:tcPr>
          <w:p>
            <w:pPr>
              <w:pStyle w:val="54"/>
            </w:pPr>
            <w:r>
              <w:rPr>
                <w:rFonts w:hint="eastAsia"/>
              </w:rPr>
              <w:t>2</w:t>
            </w:r>
          </w:p>
        </w:tc>
        <w:tc>
          <w:tcPr>
            <w:tcW w:w="825" w:type="pct"/>
            <w:vAlign w:val="center"/>
          </w:tcPr>
          <w:p>
            <w:pPr>
              <w:pStyle w:val="54"/>
            </w:pPr>
            <w:r>
              <w:rPr>
                <w:rFonts w:hint="eastAsia"/>
              </w:rPr>
              <w:t>自然资源资产责任审计</w:t>
            </w:r>
          </w:p>
        </w:tc>
        <w:tc>
          <w:tcPr>
            <w:tcW w:w="1810" w:type="pct"/>
            <w:vAlign w:val="center"/>
          </w:tcPr>
          <w:p>
            <w:pPr>
              <w:pStyle w:val="54"/>
            </w:pPr>
            <w:r>
              <w:rPr>
                <w:rFonts w:hint="eastAsia"/>
              </w:rPr>
              <w:t>开展自然资源资产责任审计工作，建立科学化、常态化的自然资源资产责任审计制度。</w:t>
            </w:r>
          </w:p>
        </w:tc>
        <w:tc>
          <w:tcPr>
            <w:tcW w:w="548" w:type="pct"/>
            <w:vAlign w:val="center"/>
          </w:tcPr>
          <w:p>
            <w:pPr>
              <w:pStyle w:val="54"/>
            </w:pPr>
            <w:r>
              <w:t>2021-2025</w:t>
            </w:r>
          </w:p>
        </w:tc>
        <w:tc>
          <w:tcPr>
            <w:tcW w:w="502" w:type="pct"/>
            <w:vAlign w:val="center"/>
          </w:tcPr>
          <w:p>
            <w:pPr>
              <w:pStyle w:val="54"/>
            </w:pPr>
            <w:r>
              <w:t>/</w:t>
            </w:r>
          </w:p>
        </w:tc>
        <w:tc>
          <w:tcPr>
            <w:tcW w:w="931" w:type="pct"/>
            <w:vAlign w:val="center"/>
          </w:tcPr>
          <w:p>
            <w:pPr>
              <w:pStyle w:val="54"/>
            </w:pPr>
            <w:r>
              <w:rPr>
                <w:rFonts w:hint="eastAsia"/>
              </w:rPr>
              <w:t>区审计局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207" w:type="pct"/>
            <w:vMerge w:val="continue"/>
            <w:vAlign w:val="center"/>
          </w:tcPr>
          <w:p>
            <w:pPr>
              <w:pStyle w:val="54"/>
            </w:pPr>
          </w:p>
        </w:tc>
        <w:tc>
          <w:tcPr>
            <w:tcW w:w="177" w:type="pct"/>
            <w:vAlign w:val="center"/>
          </w:tcPr>
          <w:p>
            <w:pPr>
              <w:pStyle w:val="54"/>
            </w:pPr>
            <w:r>
              <w:rPr>
                <w:rFonts w:hint="eastAsia"/>
              </w:rPr>
              <w:t>3</w:t>
            </w:r>
          </w:p>
        </w:tc>
        <w:tc>
          <w:tcPr>
            <w:tcW w:w="825" w:type="pct"/>
            <w:vAlign w:val="center"/>
          </w:tcPr>
          <w:p>
            <w:pPr>
              <w:pStyle w:val="54"/>
            </w:pPr>
            <w:r>
              <w:rPr>
                <w:rFonts w:hint="eastAsia"/>
              </w:rPr>
              <w:t>健全生态环境损害责任追究机制</w:t>
            </w:r>
          </w:p>
        </w:tc>
        <w:tc>
          <w:tcPr>
            <w:tcW w:w="1810" w:type="pct"/>
            <w:vAlign w:val="center"/>
          </w:tcPr>
          <w:p>
            <w:pPr>
              <w:pStyle w:val="54"/>
            </w:pPr>
            <w:r>
              <w:rPr>
                <w:rFonts w:hint="eastAsia"/>
              </w:rPr>
              <w:t>逐步建立健全生态环境损害责任终身追究制，根据</w:t>
            </w:r>
            <w:r>
              <w:t>领导干部</w:t>
            </w:r>
            <w:r>
              <w:rPr>
                <w:rFonts w:hint="eastAsia"/>
              </w:rPr>
              <w:t>录任职期间批建的重大项目及其发生的生态环境损害情况，对不重视生态文明建设，造成重大生态环境损害事故的，实施严格问责和终身追责。</w:t>
            </w:r>
          </w:p>
        </w:tc>
        <w:tc>
          <w:tcPr>
            <w:tcW w:w="548" w:type="pct"/>
            <w:vAlign w:val="center"/>
          </w:tcPr>
          <w:p>
            <w:pPr>
              <w:pStyle w:val="54"/>
            </w:pPr>
            <w:r>
              <w:t>2021-2030</w:t>
            </w:r>
          </w:p>
        </w:tc>
        <w:tc>
          <w:tcPr>
            <w:tcW w:w="502" w:type="pct"/>
            <w:vAlign w:val="center"/>
          </w:tcPr>
          <w:p>
            <w:pPr>
              <w:pStyle w:val="54"/>
            </w:pPr>
            <w:r>
              <w:rPr>
                <w:rFonts w:hint="eastAsia"/>
              </w:rPr>
              <w:t>/</w:t>
            </w:r>
          </w:p>
        </w:tc>
        <w:tc>
          <w:tcPr>
            <w:tcW w:w="931" w:type="pct"/>
            <w:vAlign w:val="center"/>
          </w:tcPr>
          <w:p>
            <w:pPr>
              <w:pStyle w:val="54"/>
            </w:pPr>
            <w:r>
              <w:rPr>
                <w:rFonts w:hint="eastAsia"/>
              </w:rPr>
              <w:t>区委组织部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207" w:type="pct"/>
            <w:vMerge w:val="continue"/>
            <w:vAlign w:val="center"/>
          </w:tcPr>
          <w:p>
            <w:pPr>
              <w:pStyle w:val="54"/>
            </w:pPr>
          </w:p>
        </w:tc>
        <w:tc>
          <w:tcPr>
            <w:tcW w:w="177" w:type="pct"/>
            <w:vAlign w:val="center"/>
          </w:tcPr>
          <w:p>
            <w:pPr>
              <w:pStyle w:val="54"/>
            </w:pPr>
            <w:r>
              <w:rPr>
                <w:rFonts w:hint="eastAsia"/>
              </w:rPr>
              <w:t>4</w:t>
            </w:r>
          </w:p>
        </w:tc>
        <w:tc>
          <w:tcPr>
            <w:tcW w:w="825" w:type="pct"/>
            <w:vAlign w:val="center"/>
          </w:tcPr>
          <w:p>
            <w:pPr>
              <w:pStyle w:val="54"/>
            </w:pPr>
            <w:r>
              <w:t>地表水自动监测站建设</w:t>
            </w:r>
          </w:p>
        </w:tc>
        <w:tc>
          <w:tcPr>
            <w:tcW w:w="1810" w:type="pct"/>
            <w:vAlign w:val="center"/>
          </w:tcPr>
          <w:p>
            <w:pPr>
              <w:pStyle w:val="54"/>
            </w:pPr>
            <w:r>
              <w:rPr>
                <w:rFonts w:hint="eastAsia"/>
              </w:rPr>
              <w:t>新建31个地表水水质自动监测站，其中市控断面和姚江支流断面共11个，县控断面和城区内河共20个。</w:t>
            </w:r>
          </w:p>
        </w:tc>
        <w:tc>
          <w:tcPr>
            <w:tcW w:w="548" w:type="pct"/>
            <w:vAlign w:val="center"/>
          </w:tcPr>
          <w:p>
            <w:pPr>
              <w:pStyle w:val="54"/>
            </w:pPr>
            <w:r>
              <w:rPr>
                <w:rFonts w:hint="eastAsia"/>
              </w:rPr>
              <w:t>2</w:t>
            </w:r>
            <w:r>
              <w:t>020</w:t>
            </w:r>
            <w:r>
              <w:rPr>
                <w:rFonts w:hint="eastAsia"/>
              </w:rPr>
              <w:t>-</w:t>
            </w:r>
            <w:r>
              <w:t>2025</w:t>
            </w:r>
          </w:p>
        </w:tc>
        <w:tc>
          <w:tcPr>
            <w:tcW w:w="502" w:type="pct"/>
            <w:vAlign w:val="center"/>
          </w:tcPr>
          <w:p>
            <w:pPr>
              <w:pStyle w:val="54"/>
            </w:pPr>
            <w:r>
              <w:rPr>
                <w:rFonts w:hint="eastAsia"/>
              </w:rPr>
              <w:t>2</w:t>
            </w:r>
            <w:r>
              <w:t>000</w:t>
            </w:r>
          </w:p>
        </w:tc>
        <w:tc>
          <w:tcPr>
            <w:tcW w:w="931" w:type="pct"/>
            <w:vAlign w:val="center"/>
          </w:tcPr>
          <w:p>
            <w:pPr>
              <w:pStyle w:val="54"/>
            </w:pPr>
            <w:r>
              <w:t>生态环境江北分局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207" w:type="pct"/>
            <w:vMerge w:val="restart"/>
            <w:vAlign w:val="center"/>
          </w:tcPr>
          <w:p>
            <w:pPr>
              <w:pStyle w:val="54"/>
            </w:pPr>
            <w:r>
              <w:t>生态安全体系</w:t>
            </w:r>
          </w:p>
        </w:tc>
        <w:tc>
          <w:tcPr>
            <w:tcW w:w="177" w:type="pct"/>
            <w:vAlign w:val="center"/>
          </w:tcPr>
          <w:p>
            <w:pPr>
              <w:pStyle w:val="54"/>
            </w:pPr>
            <w:r>
              <w:rPr>
                <w:rFonts w:hint="eastAsia"/>
              </w:rPr>
              <w:t>5</w:t>
            </w:r>
          </w:p>
        </w:tc>
        <w:tc>
          <w:tcPr>
            <w:tcW w:w="825" w:type="pct"/>
            <w:vAlign w:val="center"/>
          </w:tcPr>
          <w:p>
            <w:pPr>
              <w:pStyle w:val="54"/>
            </w:pPr>
            <w:r>
              <w:t>河道整治工程</w:t>
            </w:r>
          </w:p>
        </w:tc>
        <w:tc>
          <w:tcPr>
            <w:tcW w:w="1810" w:type="pct"/>
            <w:vAlign w:val="center"/>
          </w:tcPr>
          <w:p>
            <w:pPr>
              <w:pStyle w:val="54"/>
            </w:pPr>
            <w:r>
              <w:rPr>
                <w:rFonts w:hint="eastAsia"/>
              </w:rPr>
              <w:t>江北大河整治工程（二期）庄桥段、姚江新城水系、封河、西护城河、东大河、文教片区、张桂家河流域及宁波大学区域等整治工程，每年完成生态清淤5万方。</w:t>
            </w:r>
          </w:p>
        </w:tc>
        <w:tc>
          <w:tcPr>
            <w:tcW w:w="548" w:type="pct"/>
            <w:vAlign w:val="center"/>
          </w:tcPr>
          <w:p>
            <w:pPr>
              <w:pStyle w:val="54"/>
            </w:pPr>
            <w:r>
              <w:rPr>
                <w:rFonts w:hint="eastAsia"/>
              </w:rPr>
              <w:t>2021-2025</w:t>
            </w:r>
          </w:p>
        </w:tc>
        <w:tc>
          <w:tcPr>
            <w:tcW w:w="502" w:type="pct"/>
            <w:vAlign w:val="center"/>
          </w:tcPr>
          <w:p>
            <w:pPr>
              <w:pStyle w:val="54"/>
            </w:pPr>
            <w:r>
              <w:t>60000</w:t>
            </w:r>
          </w:p>
        </w:tc>
        <w:tc>
          <w:tcPr>
            <w:tcW w:w="931" w:type="pct"/>
            <w:vAlign w:val="center"/>
          </w:tcPr>
          <w:p>
            <w:pPr>
              <w:pStyle w:val="54"/>
            </w:pPr>
            <w:r>
              <w:rPr>
                <w:rFonts w:hint="eastAsia"/>
              </w:rPr>
              <w:t>区农业农村局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207" w:type="pct"/>
            <w:vMerge w:val="continue"/>
            <w:vAlign w:val="center"/>
          </w:tcPr>
          <w:p>
            <w:pPr>
              <w:pStyle w:val="54"/>
            </w:pPr>
          </w:p>
        </w:tc>
        <w:tc>
          <w:tcPr>
            <w:tcW w:w="177" w:type="pct"/>
            <w:vAlign w:val="center"/>
          </w:tcPr>
          <w:p>
            <w:pPr>
              <w:pStyle w:val="54"/>
            </w:pPr>
            <w:r>
              <w:rPr>
                <w:rFonts w:hint="eastAsia"/>
              </w:rPr>
              <w:t>6</w:t>
            </w:r>
          </w:p>
        </w:tc>
        <w:tc>
          <w:tcPr>
            <w:tcW w:w="825" w:type="pct"/>
            <w:vAlign w:val="center"/>
          </w:tcPr>
          <w:p>
            <w:pPr>
              <w:pStyle w:val="54"/>
            </w:pPr>
            <w:r>
              <w:rPr>
                <w:rFonts w:hint="eastAsia"/>
              </w:rPr>
              <w:t>美丽河湖创建</w:t>
            </w:r>
          </w:p>
        </w:tc>
        <w:tc>
          <w:tcPr>
            <w:tcW w:w="1810" w:type="pct"/>
            <w:vAlign w:val="center"/>
          </w:tcPr>
          <w:p>
            <w:pPr>
              <w:pStyle w:val="54"/>
            </w:pPr>
            <w:r>
              <w:rPr>
                <w:rFonts w:hint="eastAsia"/>
              </w:rPr>
              <w:t>完成2个美丽河湖创建</w:t>
            </w:r>
          </w:p>
        </w:tc>
        <w:tc>
          <w:tcPr>
            <w:tcW w:w="548" w:type="pct"/>
            <w:vAlign w:val="center"/>
          </w:tcPr>
          <w:p>
            <w:pPr>
              <w:pStyle w:val="54"/>
            </w:pPr>
            <w:r>
              <w:rPr>
                <w:rFonts w:hint="eastAsia"/>
              </w:rPr>
              <w:t>2021-2025</w:t>
            </w:r>
          </w:p>
        </w:tc>
        <w:tc>
          <w:tcPr>
            <w:tcW w:w="502" w:type="pct"/>
            <w:vAlign w:val="center"/>
          </w:tcPr>
          <w:p>
            <w:pPr>
              <w:pStyle w:val="54"/>
            </w:pPr>
            <w:r>
              <w:rPr>
                <w:rFonts w:hint="eastAsia"/>
              </w:rPr>
              <w:t>/</w:t>
            </w:r>
          </w:p>
        </w:tc>
        <w:tc>
          <w:tcPr>
            <w:tcW w:w="931" w:type="pct"/>
            <w:vAlign w:val="center"/>
          </w:tcPr>
          <w:p>
            <w:pPr>
              <w:pStyle w:val="54"/>
            </w:pPr>
            <w:r>
              <w:rPr>
                <w:rFonts w:hint="eastAsia"/>
              </w:rPr>
              <w:t>区农业农村局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207" w:type="pct"/>
            <w:vMerge w:val="continue"/>
            <w:vAlign w:val="center"/>
          </w:tcPr>
          <w:p>
            <w:pPr>
              <w:pStyle w:val="54"/>
            </w:pPr>
          </w:p>
        </w:tc>
        <w:tc>
          <w:tcPr>
            <w:tcW w:w="177" w:type="pct"/>
            <w:vAlign w:val="center"/>
          </w:tcPr>
          <w:p>
            <w:pPr>
              <w:pStyle w:val="54"/>
            </w:pPr>
            <w:r>
              <w:rPr>
                <w:rFonts w:hint="eastAsia"/>
              </w:rPr>
              <w:t>7</w:t>
            </w:r>
          </w:p>
        </w:tc>
        <w:tc>
          <w:tcPr>
            <w:tcW w:w="825" w:type="pct"/>
            <w:vAlign w:val="center"/>
          </w:tcPr>
          <w:p>
            <w:pPr>
              <w:pStyle w:val="54"/>
            </w:pPr>
            <w:r>
              <w:rPr>
                <w:rFonts w:hint="eastAsia"/>
              </w:rPr>
              <w:t>强排能力提升工程</w:t>
            </w:r>
          </w:p>
        </w:tc>
        <w:tc>
          <w:tcPr>
            <w:tcW w:w="1810" w:type="pct"/>
            <w:vAlign w:val="center"/>
          </w:tcPr>
          <w:p>
            <w:pPr>
              <w:pStyle w:val="54"/>
            </w:pPr>
            <w:r>
              <w:rPr>
                <w:rFonts w:hint="eastAsia"/>
              </w:rPr>
              <w:t>新建小西坝排涝泵（30m3/s）、下梁闸排涝泵（30m3/s）、小洋桥泵站（10m3/s）等3座引排泵站</w:t>
            </w:r>
          </w:p>
        </w:tc>
        <w:tc>
          <w:tcPr>
            <w:tcW w:w="548" w:type="pct"/>
            <w:vAlign w:val="center"/>
          </w:tcPr>
          <w:p>
            <w:pPr>
              <w:pStyle w:val="54"/>
            </w:pPr>
            <w:r>
              <w:rPr>
                <w:rFonts w:hint="eastAsia"/>
              </w:rPr>
              <w:t>2021-2025</w:t>
            </w:r>
          </w:p>
        </w:tc>
        <w:tc>
          <w:tcPr>
            <w:tcW w:w="502" w:type="pct"/>
            <w:vAlign w:val="center"/>
          </w:tcPr>
          <w:p>
            <w:pPr>
              <w:pStyle w:val="54"/>
            </w:pPr>
            <w:r>
              <w:rPr>
                <w:rFonts w:hint="eastAsia"/>
              </w:rPr>
              <w:t>2</w:t>
            </w:r>
            <w:r>
              <w:t>3000</w:t>
            </w:r>
          </w:p>
        </w:tc>
        <w:tc>
          <w:tcPr>
            <w:tcW w:w="931" w:type="pct"/>
            <w:vAlign w:val="center"/>
          </w:tcPr>
          <w:p>
            <w:pPr>
              <w:pStyle w:val="54"/>
            </w:pPr>
            <w:r>
              <w:rPr>
                <w:rFonts w:hint="eastAsia"/>
              </w:rPr>
              <w:t>区农业农村局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207" w:type="pct"/>
            <w:vMerge w:val="continue"/>
            <w:vAlign w:val="center"/>
          </w:tcPr>
          <w:p>
            <w:pPr>
              <w:pStyle w:val="54"/>
            </w:pPr>
          </w:p>
        </w:tc>
        <w:tc>
          <w:tcPr>
            <w:tcW w:w="177" w:type="pct"/>
            <w:vAlign w:val="center"/>
          </w:tcPr>
          <w:p>
            <w:pPr>
              <w:pStyle w:val="54"/>
            </w:pPr>
            <w:r>
              <w:t>8</w:t>
            </w:r>
          </w:p>
        </w:tc>
        <w:tc>
          <w:tcPr>
            <w:tcW w:w="825" w:type="pct"/>
            <w:vAlign w:val="center"/>
          </w:tcPr>
          <w:p>
            <w:pPr>
              <w:pStyle w:val="54"/>
            </w:pPr>
            <w:r>
              <w:rPr>
                <w:rFonts w:hint="eastAsia"/>
              </w:rPr>
              <w:t>清水环通工程</w:t>
            </w:r>
          </w:p>
        </w:tc>
        <w:tc>
          <w:tcPr>
            <w:tcW w:w="1810" w:type="pct"/>
            <w:vAlign w:val="center"/>
          </w:tcPr>
          <w:p>
            <w:pPr>
              <w:pStyle w:val="54"/>
            </w:pPr>
            <w:r>
              <w:rPr>
                <w:rFonts w:hint="eastAsia"/>
              </w:rPr>
              <w:t>天水—万达区块及西大河流域通过增设引排水泵站、水生态治理技术，打造区域水环境质量能力示范区。</w:t>
            </w:r>
          </w:p>
        </w:tc>
        <w:tc>
          <w:tcPr>
            <w:tcW w:w="548" w:type="pct"/>
            <w:vAlign w:val="center"/>
          </w:tcPr>
          <w:p>
            <w:pPr>
              <w:pStyle w:val="54"/>
            </w:pPr>
            <w:r>
              <w:rPr>
                <w:rFonts w:hint="eastAsia"/>
              </w:rPr>
              <w:t>2021-2025</w:t>
            </w:r>
          </w:p>
        </w:tc>
        <w:tc>
          <w:tcPr>
            <w:tcW w:w="502" w:type="pct"/>
            <w:vAlign w:val="center"/>
          </w:tcPr>
          <w:p>
            <w:pPr>
              <w:pStyle w:val="54"/>
            </w:pPr>
            <w:r>
              <w:t>2</w:t>
            </w:r>
            <w:r>
              <w:rPr>
                <w:rFonts w:hint="eastAsia"/>
              </w:rPr>
              <w:t>5000</w:t>
            </w:r>
          </w:p>
        </w:tc>
        <w:tc>
          <w:tcPr>
            <w:tcW w:w="931" w:type="pct"/>
            <w:vAlign w:val="center"/>
          </w:tcPr>
          <w:p>
            <w:pPr>
              <w:pStyle w:val="54"/>
            </w:pPr>
            <w:r>
              <w:rPr>
                <w:rFonts w:hint="eastAsia"/>
              </w:rPr>
              <w:t>区农业农村局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207" w:type="pct"/>
            <w:vMerge w:val="continue"/>
            <w:vAlign w:val="center"/>
          </w:tcPr>
          <w:p>
            <w:pPr>
              <w:pStyle w:val="54"/>
            </w:pPr>
          </w:p>
        </w:tc>
        <w:tc>
          <w:tcPr>
            <w:tcW w:w="177" w:type="pct"/>
            <w:vAlign w:val="center"/>
          </w:tcPr>
          <w:p>
            <w:pPr>
              <w:pStyle w:val="54"/>
            </w:pPr>
            <w:r>
              <w:t>9</w:t>
            </w:r>
          </w:p>
        </w:tc>
        <w:tc>
          <w:tcPr>
            <w:tcW w:w="825" w:type="pct"/>
            <w:vAlign w:val="center"/>
          </w:tcPr>
          <w:p>
            <w:pPr>
              <w:pStyle w:val="54"/>
            </w:pPr>
            <w:r>
              <w:rPr>
                <w:rFonts w:hint="eastAsia"/>
              </w:rPr>
              <w:t>重点行业大气污染治理</w:t>
            </w:r>
          </w:p>
        </w:tc>
        <w:tc>
          <w:tcPr>
            <w:tcW w:w="1810" w:type="pct"/>
            <w:vAlign w:val="center"/>
          </w:tcPr>
          <w:p>
            <w:pPr>
              <w:pStyle w:val="54"/>
            </w:pPr>
            <w:r>
              <w:rPr>
                <w:rFonts w:hint="eastAsia"/>
              </w:rPr>
              <w:t>深化工业涂装、橡胶和塑料制品、包装印刷等重点行业废气深化治理</w:t>
            </w:r>
          </w:p>
        </w:tc>
        <w:tc>
          <w:tcPr>
            <w:tcW w:w="548" w:type="pct"/>
            <w:vAlign w:val="center"/>
          </w:tcPr>
          <w:p>
            <w:pPr>
              <w:pStyle w:val="54"/>
            </w:pPr>
            <w:r>
              <w:rPr>
                <w:rFonts w:hint="eastAsia"/>
              </w:rPr>
              <w:t>2</w:t>
            </w:r>
            <w:r>
              <w:t>021</w:t>
            </w:r>
            <w:r>
              <w:rPr>
                <w:rFonts w:hint="eastAsia"/>
              </w:rPr>
              <w:t>-</w:t>
            </w:r>
            <w:r>
              <w:t>2025</w:t>
            </w:r>
          </w:p>
        </w:tc>
        <w:tc>
          <w:tcPr>
            <w:tcW w:w="502" w:type="pct"/>
            <w:tcBorders>
              <w:tl2br w:val="nil"/>
              <w:tr2bl w:val="nil"/>
            </w:tcBorders>
            <w:vAlign w:val="center"/>
          </w:tcPr>
          <w:p>
            <w:pPr>
              <w:pStyle w:val="54"/>
            </w:pPr>
            <w:r>
              <w:rPr>
                <w:rFonts w:hint="eastAsia"/>
              </w:rPr>
              <w:t>1</w:t>
            </w:r>
            <w:r>
              <w:t>000</w:t>
            </w:r>
          </w:p>
        </w:tc>
        <w:tc>
          <w:tcPr>
            <w:tcW w:w="931" w:type="pct"/>
            <w:tcBorders>
              <w:tl2br w:val="nil"/>
              <w:tr2bl w:val="nil"/>
            </w:tcBorders>
            <w:vAlign w:val="center"/>
          </w:tcPr>
          <w:p>
            <w:pPr>
              <w:pStyle w:val="54"/>
            </w:pPr>
            <w:r>
              <w:t>生态环境江北分局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207" w:type="pct"/>
            <w:vMerge w:val="continue"/>
            <w:vAlign w:val="center"/>
          </w:tcPr>
          <w:p>
            <w:pPr>
              <w:pStyle w:val="54"/>
            </w:pPr>
          </w:p>
        </w:tc>
        <w:tc>
          <w:tcPr>
            <w:tcW w:w="177" w:type="pct"/>
            <w:vAlign w:val="center"/>
          </w:tcPr>
          <w:p>
            <w:pPr>
              <w:pStyle w:val="54"/>
            </w:pPr>
            <w:r>
              <w:t>10</w:t>
            </w:r>
          </w:p>
        </w:tc>
        <w:tc>
          <w:tcPr>
            <w:tcW w:w="825" w:type="pct"/>
            <w:vAlign w:val="center"/>
          </w:tcPr>
          <w:p>
            <w:pPr>
              <w:pStyle w:val="54"/>
            </w:pPr>
            <w:r>
              <w:rPr>
                <w:rFonts w:hint="eastAsia"/>
              </w:rPr>
              <w:t>“千吨万人”饮用水水源保护区规范化整治项目</w:t>
            </w:r>
          </w:p>
        </w:tc>
        <w:tc>
          <w:tcPr>
            <w:tcW w:w="1810" w:type="pct"/>
            <w:vAlign w:val="center"/>
          </w:tcPr>
          <w:p>
            <w:pPr>
              <w:pStyle w:val="54"/>
            </w:pPr>
            <w:r>
              <w:rPr>
                <w:rFonts w:hint="eastAsia"/>
              </w:rPr>
              <w:t>保护区勘界立标、物理隔离带建设、污染源整治及水质提升工程。</w:t>
            </w:r>
          </w:p>
        </w:tc>
        <w:tc>
          <w:tcPr>
            <w:tcW w:w="548" w:type="pct"/>
            <w:tcBorders>
              <w:tl2br w:val="nil"/>
              <w:tr2bl w:val="nil"/>
            </w:tcBorders>
            <w:vAlign w:val="center"/>
          </w:tcPr>
          <w:p>
            <w:pPr>
              <w:pStyle w:val="54"/>
            </w:pPr>
            <w:r>
              <w:t>2021-2022</w:t>
            </w:r>
          </w:p>
        </w:tc>
        <w:tc>
          <w:tcPr>
            <w:tcW w:w="502" w:type="pct"/>
            <w:tcBorders>
              <w:tl2br w:val="nil"/>
              <w:tr2bl w:val="nil"/>
            </w:tcBorders>
            <w:vAlign w:val="center"/>
          </w:tcPr>
          <w:p>
            <w:pPr>
              <w:pStyle w:val="54"/>
            </w:pPr>
            <w:r>
              <w:t>1000</w:t>
            </w:r>
          </w:p>
        </w:tc>
        <w:tc>
          <w:tcPr>
            <w:tcW w:w="931" w:type="pct"/>
            <w:tcBorders>
              <w:tl2br w:val="nil"/>
              <w:tr2bl w:val="nil"/>
            </w:tcBorders>
            <w:vAlign w:val="center"/>
          </w:tcPr>
          <w:p>
            <w:pPr>
              <w:pStyle w:val="54"/>
            </w:pPr>
            <w:r>
              <w:t>生态环境江北分局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207" w:type="pct"/>
            <w:vMerge w:val="continue"/>
            <w:vAlign w:val="center"/>
          </w:tcPr>
          <w:p>
            <w:pPr>
              <w:pStyle w:val="54"/>
            </w:pPr>
          </w:p>
        </w:tc>
        <w:tc>
          <w:tcPr>
            <w:tcW w:w="177" w:type="pct"/>
            <w:vAlign w:val="center"/>
          </w:tcPr>
          <w:p>
            <w:pPr>
              <w:pStyle w:val="54"/>
            </w:pPr>
            <w:r>
              <w:t>11</w:t>
            </w:r>
          </w:p>
        </w:tc>
        <w:tc>
          <w:tcPr>
            <w:tcW w:w="825" w:type="pct"/>
            <w:vAlign w:val="center"/>
          </w:tcPr>
          <w:p>
            <w:pPr>
              <w:pStyle w:val="54"/>
            </w:pPr>
            <w:r>
              <w:rPr>
                <w:rFonts w:hint="eastAsia"/>
              </w:rPr>
              <w:t>一般工业固废、小微企业危废收集转运项目</w:t>
            </w:r>
          </w:p>
        </w:tc>
        <w:tc>
          <w:tcPr>
            <w:tcW w:w="1810" w:type="pct"/>
            <w:tcBorders>
              <w:tl2br w:val="nil"/>
              <w:tr2bl w:val="nil"/>
            </w:tcBorders>
            <w:vAlign w:val="center"/>
          </w:tcPr>
          <w:p>
            <w:pPr>
              <w:pStyle w:val="54"/>
            </w:pPr>
            <w:r>
              <w:rPr>
                <w:rFonts w:hint="eastAsia"/>
              </w:rPr>
              <w:t>建立一般工业固废、小微企业危废收集转运系统。</w:t>
            </w:r>
          </w:p>
        </w:tc>
        <w:tc>
          <w:tcPr>
            <w:tcW w:w="548" w:type="pct"/>
            <w:tcBorders>
              <w:tl2br w:val="nil"/>
              <w:tr2bl w:val="nil"/>
            </w:tcBorders>
            <w:vAlign w:val="center"/>
          </w:tcPr>
          <w:p>
            <w:pPr>
              <w:pStyle w:val="54"/>
            </w:pPr>
            <w:r>
              <w:rPr>
                <w:rFonts w:hint="eastAsia"/>
              </w:rPr>
              <w:t>2021</w:t>
            </w:r>
          </w:p>
        </w:tc>
        <w:tc>
          <w:tcPr>
            <w:tcW w:w="502" w:type="pct"/>
            <w:tcBorders>
              <w:tl2br w:val="nil"/>
              <w:tr2bl w:val="nil"/>
            </w:tcBorders>
            <w:vAlign w:val="center"/>
          </w:tcPr>
          <w:p>
            <w:pPr>
              <w:pStyle w:val="54"/>
            </w:pPr>
            <w:r>
              <w:rPr>
                <w:rFonts w:hint="eastAsia"/>
              </w:rPr>
              <w:t>200</w:t>
            </w:r>
          </w:p>
        </w:tc>
        <w:tc>
          <w:tcPr>
            <w:tcW w:w="931" w:type="pct"/>
            <w:tcBorders>
              <w:tl2br w:val="nil"/>
              <w:tr2bl w:val="nil"/>
            </w:tcBorders>
            <w:vAlign w:val="center"/>
          </w:tcPr>
          <w:p>
            <w:pPr>
              <w:pStyle w:val="54"/>
            </w:pPr>
            <w:r>
              <w:rPr>
                <w:rFonts w:hint="eastAsia"/>
              </w:rPr>
              <w:t>生态环境江北分局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207" w:type="pct"/>
            <w:vMerge w:val="continue"/>
            <w:vAlign w:val="center"/>
          </w:tcPr>
          <w:p>
            <w:pPr>
              <w:pStyle w:val="54"/>
            </w:pPr>
          </w:p>
        </w:tc>
        <w:tc>
          <w:tcPr>
            <w:tcW w:w="177" w:type="pct"/>
            <w:vAlign w:val="center"/>
          </w:tcPr>
          <w:p>
            <w:pPr>
              <w:pStyle w:val="54"/>
            </w:pPr>
            <w:r>
              <w:t>12</w:t>
            </w:r>
          </w:p>
        </w:tc>
        <w:tc>
          <w:tcPr>
            <w:tcW w:w="825" w:type="pct"/>
            <w:vAlign w:val="center"/>
          </w:tcPr>
          <w:p>
            <w:pPr>
              <w:pStyle w:val="54"/>
            </w:pPr>
            <w:r>
              <w:rPr>
                <w:rFonts w:hint="eastAsia"/>
              </w:rPr>
              <w:t>污染土壤治理项目</w:t>
            </w:r>
          </w:p>
        </w:tc>
        <w:tc>
          <w:tcPr>
            <w:tcW w:w="1810" w:type="pct"/>
            <w:vAlign w:val="center"/>
          </w:tcPr>
          <w:p>
            <w:pPr>
              <w:pStyle w:val="54"/>
            </w:pPr>
            <w:r>
              <w:rPr>
                <w:rFonts w:hint="eastAsia"/>
              </w:rPr>
              <w:t>完成“对账销号”农产品协同检测任务。</w:t>
            </w:r>
          </w:p>
        </w:tc>
        <w:tc>
          <w:tcPr>
            <w:tcW w:w="548" w:type="pct"/>
            <w:vAlign w:val="center"/>
          </w:tcPr>
          <w:p>
            <w:pPr>
              <w:pStyle w:val="54"/>
            </w:pPr>
            <w:r>
              <w:t>2020</w:t>
            </w:r>
            <w:r>
              <w:rPr>
                <w:rFonts w:hint="eastAsia"/>
              </w:rPr>
              <w:t>-</w:t>
            </w:r>
            <w:r>
              <w:t>2025</w:t>
            </w:r>
          </w:p>
        </w:tc>
        <w:tc>
          <w:tcPr>
            <w:tcW w:w="502" w:type="pct"/>
            <w:vAlign w:val="center"/>
          </w:tcPr>
          <w:p>
            <w:pPr>
              <w:pStyle w:val="54"/>
            </w:pPr>
            <w:r>
              <w:rPr>
                <w:rFonts w:hint="eastAsia"/>
              </w:rPr>
              <w:t>2</w:t>
            </w:r>
            <w:r>
              <w:t>00</w:t>
            </w:r>
          </w:p>
        </w:tc>
        <w:tc>
          <w:tcPr>
            <w:tcW w:w="931" w:type="pct"/>
            <w:vAlign w:val="center"/>
          </w:tcPr>
          <w:p>
            <w:pPr>
              <w:pStyle w:val="54"/>
            </w:pPr>
            <w:r>
              <w:rPr>
                <w:rFonts w:hint="eastAsia"/>
              </w:rPr>
              <w:t>自然资源规划江北分局、生态环境江北分局、区农业农村局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07" w:type="pct"/>
            <w:vMerge w:val="continue"/>
            <w:vAlign w:val="center"/>
          </w:tcPr>
          <w:p>
            <w:pPr>
              <w:pStyle w:val="54"/>
            </w:pPr>
          </w:p>
        </w:tc>
        <w:tc>
          <w:tcPr>
            <w:tcW w:w="177" w:type="pct"/>
            <w:vAlign w:val="center"/>
          </w:tcPr>
          <w:p>
            <w:pPr>
              <w:pStyle w:val="54"/>
            </w:pPr>
            <w:r>
              <w:t>13</w:t>
            </w:r>
          </w:p>
        </w:tc>
        <w:tc>
          <w:tcPr>
            <w:tcW w:w="825" w:type="pct"/>
            <w:vAlign w:val="center"/>
          </w:tcPr>
          <w:p>
            <w:pPr>
              <w:pStyle w:val="54"/>
            </w:pPr>
            <w:r>
              <w:rPr>
                <w:rFonts w:hint="eastAsia"/>
              </w:rPr>
              <w:t>农业固体废物回收利用体系建设项目</w:t>
            </w:r>
          </w:p>
        </w:tc>
        <w:tc>
          <w:tcPr>
            <w:tcW w:w="1810" w:type="pct"/>
            <w:vAlign w:val="center"/>
          </w:tcPr>
          <w:p>
            <w:pPr>
              <w:pStyle w:val="54"/>
            </w:pPr>
            <w:r>
              <w:rPr>
                <w:rFonts w:hint="eastAsia"/>
              </w:rPr>
              <w:t>进一步完善农药废弃包装物回收体系</w:t>
            </w:r>
          </w:p>
        </w:tc>
        <w:tc>
          <w:tcPr>
            <w:tcW w:w="548" w:type="pct"/>
            <w:vAlign w:val="center"/>
          </w:tcPr>
          <w:p>
            <w:pPr>
              <w:pStyle w:val="54"/>
            </w:pPr>
            <w:r>
              <w:rPr>
                <w:rFonts w:hint="eastAsia"/>
              </w:rPr>
              <w:t>2</w:t>
            </w:r>
            <w:r>
              <w:t>021</w:t>
            </w:r>
            <w:r>
              <w:rPr>
                <w:rFonts w:hint="eastAsia"/>
              </w:rPr>
              <w:t>-</w:t>
            </w:r>
            <w:r>
              <w:t>2022</w:t>
            </w:r>
          </w:p>
        </w:tc>
        <w:tc>
          <w:tcPr>
            <w:tcW w:w="502" w:type="pct"/>
            <w:vAlign w:val="center"/>
          </w:tcPr>
          <w:p>
            <w:pPr>
              <w:pStyle w:val="54"/>
            </w:pPr>
            <w:r>
              <w:rPr>
                <w:rFonts w:hint="eastAsia"/>
              </w:rPr>
              <w:t>180</w:t>
            </w:r>
          </w:p>
        </w:tc>
        <w:tc>
          <w:tcPr>
            <w:tcW w:w="931" w:type="pct"/>
            <w:vAlign w:val="center"/>
          </w:tcPr>
          <w:p>
            <w:pPr>
              <w:pStyle w:val="54"/>
            </w:pPr>
            <w:r>
              <w:rPr>
                <w:rFonts w:hint="eastAsia"/>
              </w:rPr>
              <w:t>区农业农村局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207" w:type="pct"/>
            <w:vMerge w:val="restart"/>
            <w:vAlign w:val="center"/>
          </w:tcPr>
          <w:p>
            <w:pPr>
              <w:pStyle w:val="54"/>
            </w:pPr>
            <w:r>
              <w:t>生态</w:t>
            </w:r>
            <w:r>
              <w:rPr>
                <w:rFonts w:hint="eastAsia"/>
              </w:rPr>
              <w:t>空间</w:t>
            </w:r>
            <w:r>
              <w:t>体系</w:t>
            </w:r>
          </w:p>
        </w:tc>
        <w:tc>
          <w:tcPr>
            <w:tcW w:w="177" w:type="pct"/>
            <w:vAlign w:val="center"/>
          </w:tcPr>
          <w:p>
            <w:pPr>
              <w:pStyle w:val="54"/>
            </w:pPr>
            <w:r>
              <w:t>14</w:t>
            </w:r>
          </w:p>
        </w:tc>
        <w:tc>
          <w:tcPr>
            <w:tcW w:w="825" w:type="pct"/>
            <w:vAlign w:val="center"/>
          </w:tcPr>
          <w:p>
            <w:pPr>
              <w:pStyle w:val="54"/>
            </w:pPr>
            <w:r>
              <w:rPr>
                <w:rFonts w:hint="eastAsia"/>
              </w:rPr>
              <w:t>生态保护红线划定及勘界定标工程</w:t>
            </w:r>
          </w:p>
        </w:tc>
        <w:tc>
          <w:tcPr>
            <w:tcW w:w="1810" w:type="pct"/>
            <w:vAlign w:val="center"/>
          </w:tcPr>
          <w:p>
            <w:pPr>
              <w:pStyle w:val="54"/>
            </w:pPr>
            <w:r>
              <w:rPr>
                <w:rFonts w:hint="eastAsia"/>
              </w:rPr>
              <w:t>在浙江省与宁波市生态红线、环境功能区划的基础上，完成江北区生态保护红线的划定及勘界定标工作。</w:t>
            </w:r>
          </w:p>
        </w:tc>
        <w:tc>
          <w:tcPr>
            <w:tcW w:w="548" w:type="pct"/>
            <w:vAlign w:val="center"/>
          </w:tcPr>
          <w:p>
            <w:pPr>
              <w:pStyle w:val="54"/>
            </w:pPr>
            <w:r>
              <w:t>2020-2025</w:t>
            </w:r>
          </w:p>
        </w:tc>
        <w:tc>
          <w:tcPr>
            <w:tcW w:w="502" w:type="pct"/>
            <w:vAlign w:val="center"/>
          </w:tcPr>
          <w:p>
            <w:pPr>
              <w:pStyle w:val="54"/>
            </w:pPr>
            <w:r>
              <w:t>400</w:t>
            </w:r>
          </w:p>
        </w:tc>
        <w:tc>
          <w:tcPr>
            <w:tcW w:w="931" w:type="pct"/>
            <w:vAlign w:val="center"/>
          </w:tcPr>
          <w:p>
            <w:pPr>
              <w:pStyle w:val="54"/>
            </w:pPr>
            <w:r>
              <w:rPr>
                <w:rFonts w:hint="eastAsia"/>
              </w:rPr>
              <w:t>自然资源和规划江北分局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207" w:type="pct"/>
            <w:vMerge w:val="continue"/>
            <w:vAlign w:val="center"/>
          </w:tcPr>
          <w:p>
            <w:pPr>
              <w:pStyle w:val="54"/>
            </w:pPr>
          </w:p>
        </w:tc>
        <w:tc>
          <w:tcPr>
            <w:tcW w:w="177" w:type="pct"/>
            <w:vAlign w:val="center"/>
          </w:tcPr>
          <w:p>
            <w:pPr>
              <w:pStyle w:val="54"/>
            </w:pPr>
            <w:r>
              <w:t>15</w:t>
            </w:r>
          </w:p>
        </w:tc>
        <w:tc>
          <w:tcPr>
            <w:tcW w:w="825" w:type="pct"/>
            <w:vAlign w:val="center"/>
          </w:tcPr>
          <w:p>
            <w:pPr>
              <w:pStyle w:val="54"/>
              <w:rPr>
                <w:rFonts w:ascii="仿宋_GB2312"/>
              </w:rPr>
            </w:pPr>
            <w:r>
              <w:rPr>
                <w:rFonts w:hint="eastAsia" w:ascii="仿宋_GB2312"/>
              </w:rPr>
              <w:t>国土空间总体规划编制</w:t>
            </w:r>
          </w:p>
          <w:p>
            <w:pPr>
              <w:pStyle w:val="54"/>
            </w:pPr>
          </w:p>
        </w:tc>
        <w:tc>
          <w:tcPr>
            <w:tcW w:w="1810" w:type="pct"/>
            <w:vAlign w:val="center"/>
          </w:tcPr>
          <w:p>
            <w:pPr>
              <w:pStyle w:val="54"/>
            </w:pPr>
            <w:r>
              <w:rPr>
                <w:rFonts w:hint="eastAsia" w:ascii="仿宋_GB2312"/>
              </w:rPr>
              <w:t>按照国土空间规划编制指南等有关要求进行《江北区国土空间总体规划（2020-2035年）》编制</w:t>
            </w:r>
          </w:p>
        </w:tc>
        <w:tc>
          <w:tcPr>
            <w:tcW w:w="548" w:type="pct"/>
            <w:vAlign w:val="center"/>
          </w:tcPr>
          <w:p>
            <w:pPr>
              <w:pStyle w:val="54"/>
            </w:pPr>
            <w:r>
              <w:rPr>
                <w:rFonts w:hint="eastAsia" w:ascii="仿宋_GB2312"/>
              </w:rPr>
              <w:t>2020-2021</w:t>
            </w:r>
          </w:p>
        </w:tc>
        <w:tc>
          <w:tcPr>
            <w:tcW w:w="502" w:type="pct"/>
            <w:vAlign w:val="center"/>
          </w:tcPr>
          <w:p>
            <w:pPr>
              <w:pStyle w:val="54"/>
            </w:pPr>
            <w:r>
              <w:rPr>
                <w:rFonts w:hint="eastAsia" w:ascii="仿宋_GB2312"/>
              </w:rPr>
              <w:t>1430</w:t>
            </w:r>
          </w:p>
        </w:tc>
        <w:tc>
          <w:tcPr>
            <w:tcW w:w="931" w:type="pct"/>
            <w:vAlign w:val="center"/>
          </w:tcPr>
          <w:p>
            <w:pPr>
              <w:pStyle w:val="54"/>
            </w:pPr>
            <w:r>
              <w:rPr>
                <w:rFonts w:hint="eastAsia" w:ascii="仿宋_GB2312"/>
              </w:rPr>
              <w:t>自然资源和规划江北分局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207" w:type="pct"/>
            <w:vMerge w:val="continue"/>
            <w:vAlign w:val="center"/>
          </w:tcPr>
          <w:p>
            <w:pPr>
              <w:pStyle w:val="54"/>
            </w:pPr>
          </w:p>
        </w:tc>
        <w:tc>
          <w:tcPr>
            <w:tcW w:w="177" w:type="pct"/>
            <w:vAlign w:val="center"/>
          </w:tcPr>
          <w:p>
            <w:pPr>
              <w:pStyle w:val="54"/>
            </w:pPr>
            <w:r>
              <w:t>16</w:t>
            </w:r>
          </w:p>
        </w:tc>
        <w:tc>
          <w:tcPr>
            <w:tcW w:w="825" w:type="pct"/>
            <w:vAlign w:val="center"/>
          </w:tcPr>
          <w:p>
            <w:pPr>
              <w:pStyle w:val="54"/>
            </w:pPr>
            <w:r>
              <w:rPr>
                <w:rFonts w:hint="eastAsia" w:ascii="仿宋_GB2312"/>
              </w:rPr>
              <w:t>水域保护规划编制</w:t>
            </w:r>
          </w:p>
        </w:tc>
        <w:tc>
          <w:tcPr>
            <w:tcW w:w="1810" w:type="pct"/>
            <w:vAlign w:val="center"/>
          </w:tcPr>
          <w:p>
            <w:pPr>
              <w:pStyle w:val="54"/>
            </w:pPr>
            <w:r>
              <w:rPr>
                <w:rFonts w:hint="eastAsia" w:ascii="仿宋_GB2312"/>
              </w:rPr>
              <w:t>按照《浙江省水域保护规划编制技术导则》等有关要求进行《江北区水域保护规划》编制</w:t>
            </w:r>
          </w:p>
        </w:tc>
        <w:tc>
          <w:tcPr>
            <w:tcW w:w="548" w:type="pct"/>
            <w:vAlign w:val="center"/>
          </w:tcPr>
          <w:p>
            <w:pPr>
              <w:pStyle w:val="54"/>
            </w:pPr>
            <w:r>
              <w:rPr>
                <w:rFonts w:hint="eastAsia" w:ascii="仿宋_GB2312"/>
              </w:rPr>
              <w:t>2020-2021</w:t>
            </w:r>
          </w:p>
        </w:tc>
        <w:tc>
          <w:tcPr>
            <w:tcW w:w="502" w:type="pct"/>
            <w:vAlign w:val="center"/>
          </w:tcPr>
          <w:p>
            <w:pPr>
              <w:pStyle w:val="54"/>
            </w:pPr>
            <w:r>
              <w:rPr>
                <w:rFonts w:hint="eastAsia" w:ascii="仿宋_GB2312"/>
              </w:rPr>
              <w:t>50</w:t>
            </w:r>
          </w:p>
        </w:tc>
        <w:tc>
          <w:tcPr>
            <w:tcW w:w="931" w:type="pct"/>
            <w:vAlign w:val="center"/>
          </w:tcPr>
          <w:p>
            <w:pPr>
              <w:pStyle w:val="54"/>
            </w:pPr>
            <w:r>
              <w:rPr>
                <w:rFonts w:hint="eastAsia" w:ascii="仿宋_GB2312"/>
              </w:rPr>
              <w:t>区农业农村局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207" w:type="pct"/>
            <w:vMerge w:val="continue"/>
            <w:vAlign w:val="center"/>
          </w:tcPr>
          <w:p>
            <w:pPr>
              <w:pStyle w:val="54"/>
            </w:pPr>
          </w:p>
        </w:tc>
        <w:tc>
          <w:tcPr>
            <w:tcW w:w="177" w:type="pct"/>
            <w:vAlign w:val="center"/>
          </w:tcPr>
          <w:p>
            <w:pPr>
              <w:pStyle w:val="54"/>
            </w:pPr>
            <w:r>
              <w:t>17</w:t>
            </w:r>
          </w:p>
        </w:tc>
        <w:tc>
          <w:tcPr>
            <w:tcW w:w="825" w:type="pct"/>
            <w:vAlign w:val="center"/>
          </w:tcPr>
          <w:p>
            <w:pPr>
              <w:pStyle w:val="54"/>
            </w:pPr>
            <w:r>
              <w:rPr>
                <w:rFonts w:hint="eastAsia" w:ascii="仿宋_GB2312"/>
              </w:rPr>
              <w:t>水域管理范围立桩工程</w:t>
            </w:r>
          </w:p>
        </w:tc>
        <w:tc>
          <w:tcPr>
            <w:tcW w:w="1810" w:type="pct"/>
            <w:vAlign w:val="center"/>
          </w:tcPr>
          <w:p>
            <w:pPr>
              <w:pStyle w:val="54"/>
            </w:pPr>
            <w:r>
              <w:rPr>
                <w:rFonts w:hint="eastAsia" w:ascii="仿宋_GB2312"/>
              </w:rPr>
              <w:t>对已划定管理和保护范围的河湖，设立界桩、管理和保护标志，明确管理界线。</w:t>
            </w:r>
          </w:p>
        </w:tc>
        <w:tc>
          <w:tcPr>
            <w:tcW w:w="548" w:type="pct"/>
            <w:vAlign w:val="center"/>
          </w:tcPr>
          <w:p>
            <w:pPr>
              <w:pStyle w:val="54"/>
            </w:pPr>
            <w:r>
              <w:rPr>
                <w:rFonts w:hint="eastAsia" w:ascii="仿宋_GB2312"/>
              </w:rPr>
              <w:t>2021-2025</w:t>
            </w:r>
          </w:p>
        </w:tc>
        <w:tc>
          <w:tcPr>
            <w:tcW w:w="502" w:type="pct"/>
            <w:vAlign w:val="center"/>
          </w:tcPr>
          <w:p>
            <w:pPr>
              <w:pStyle w:val="54"/>
            </w:pPr>
            <w:r>
              <w:rPr>
                <w:rFonts w:hint="eastAsia"/>
              </w:rPr>
              <w:t>/</w:t>
            </w:r>
          </w:p>
        </w:tc>
        <w:tc>
          <w:tcPr>
            <w:tcW w:w="931" w:type="pct"/>
            <w:vAlign w:val="center"/>
          </w:tcPr>
          <w:p>
            <w:pPr>
              <w:pStyle w:val="54"/>
            </w:pPr>
            <w:r>
              <w:rPr>
                <w:rFonts w:hint="eastAsia" w:ascii="仿宋_GB2312"/>
              </w:rPr>
              <w:t>区农业农村局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207" w:type="pct"/>
            <w:vMerge w:val="restart"/>
            <w:vAlign w:val="center"/>
          </w:tcPr>
          <w:p>
            <w:pPr>
              <w:pStyle w:val="54"/>
            </w:pPr>
            <w:r>
              <w:t>生态经济体系</w:t>
            </w:r>
          </w:p>
        </w:tc>
        <w:tc>
          <w:tcPr>
            <w:tcW w:w="177" w:type="pct"/>
            <w:vAlign w:val="center"/>
          </w:tcPr>
          <w:p>
            <w:pPr>
              <w:pStyle w:val="54"/>
            </w:pPr>
            <w:r>
              <w:t>18</w:t>
            </w:r>
          </w:p>
        </w:tc>
        <w:tc>
          <w:tcPr>
            <w:tcW w:w="825" w:type="pct"/>
            <w:vAlign w:val="center"/>
          </w:tcPr>
          <w:p>
            <w:pPr>
              <w:pStyle w:val="54"/>
            </w:pPr>
            <w:r>
              <w:rPr>
                <w:rFonts w:hint="eastAsia"/>
              </w:rPr>
              <w:t>浙江星城电子有限公司项目</w:t>
            </w:r>
          </w:p>
        </w:tc>
        <w:tc>
          <w:tcPr>
            <w:tcW w:w="1810" w:type="pct"/>
            <w:vAlign w:val="center"/>
          </w:tcPr>
          <w:p>
            <w:pPr>
              <w:pStyle w:val="54"/>
            </w:pPr>
            <w:r>
              <w:rPr>
                <w:rFonts w:hint="eastAsia"/>
              </w:rPr>
              <w:t>占地25.3亩,计容面积约4.2万平方米，年产1GW单多晶高效电池、光伏组件生产线项目</w:t>
            </w:r>
          </w:p>
        </w:tc>
        <w:tc>
          <w:tcPr>
            <w:tcW w:w="548" w:type="pct"/>
            <w:vAlign w:val="center"/>
          </w:tcPr>
          <w:p>
            <w:pPr>
              <w:pStyle w:val="54"/>
            </w:pPr>
            <w:r>
              <w:t>2021-2026</w:t>
            </w:r>
          </w:p>
        </w:tc>
        <w:tc>
          <w:tcPr>
            <w:tcW w:w="502" w:type="pct"/>
            <w:vAlign w:val="center"/>
          </w:tcPr>
          <w:p>
            <w:pPr>
              <w:pStyle w:val="54"/>
            </w:pPr>
            <w:r>
              <w:rPr>
                <w:rFonts w:hint="eastAsia"/>
              </w:rPr>
              <w:t>1</w:t>
            </w:r>
            <w:r>
              <w:t>8000</w:t>
            </w:r>
          </w:p>
        </w:tc>
        <w:tc>
          <w:tcPr>
            <w:tcW w:w="931" w:type="pct"/>
            <w:vAlign w:val="center"/>
          </w:tcPr>
          <w:p>
            <w:pPr>
              <w:pStyle w:val="54"/>
            </w:pPr>
            <w:r>
              <w:rPr>
                <w:rFonts w:hint="eastAsia"/>
              </w:rPr>
              <w:t>庄桥街道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207" w:type="pct"/>
            <w:vMerge w:val="continue"/>
            <w:vAlign w:val="center"/>
          </w:tcPr>
          <w:p>
            <w:pPr>
              <w:pStyle w:val="54"/>
            </w:pPr>
          </w:p>
        </w:tc>
        <w:tc>
          <w:tcPr>
            <w:tcW w:w="177" w:type="pct"/>
            <w:vAlign w:val="center"/>
          </w:tcPr>
          <w:p>
            <w:pPr>
              <w:pStyle w:val="54"/>
            </w:pPr>
            <w:r>
              <w:rPr>
                <w:rFonts w:hint="eastAsia"/>
              </w:rPr>
              <w:t>1</w:t>
            </w:r>
            <w:r>
              <w:t>9</w:t>
            </w:r>
          </w:p>
        </w:tc>
        <w:tc>
          <w:tcPr>
            <w:tcW w:w="825" w:type="pct"/>
            <w:vAlign w:val="center"/>
          </w:tcPr>
          <w:p>
            <w:pPr>
              <w:pStyle w:val="54"/>
            </w:pPr>
            <w:r>
              <w:rPr>
                <w:rFonts w:hint="eastAsia"/>
              </w:rPr>
              <w:t>宁波水表智能水表扩产及技术研发中心建设项目</w:t>
            </w:r>
          </w:p>
        </w:tc>
        <w:tc>
          <w:tcPr>
            <w:tcW w:w="1810" w:type="pct"/>
            <w:vAlign w:val="center"/>
          </w:tcPr>
          <w:p>
            <w:pPr>
              <w:pStyle w:val="54"/>
            </w:pPr>
            <w:r>
              <w:rPr>
                <w:rFonts w:hint="eastAsia"/>
              </w:rPr>
              <w:t>占地面积35亩，总建筑面积约6.3万平方米，容积率2.6，预计项目达产后新增销售额9亿元</w:t>
            </w:r>
          </w:p>
        </w:tc>
        <w:tc>
          <w:tcPr>
            <w:tcW w:w="548" w:type="pct"/>
            <w:vAlign w:val="center"/>
          </w:tcPr>
          <w:p>
            <w:pPr>
              <w:pStyle w:val="54"/>
            </w:pPr>
            <w:r>
              <w:t>2020-2022</w:t>
            </w:r>
          </w:p>
        </w:tc>
        <w:tc>
          <w:tcPr>
            <w:tcW w:w="502" w:type="pct"/>
            <w:vAlign w:val="center"/>
          </w:tcPr>
          <w:p>
            <w:pPr>
              <w:pStyle w:val="54"/>
            </w:pPr>
            <w:r>
              <w:rPr>
                <w:rFonts w:hint="eastAsia"/>
              </w:rPr>
              <w:t>3</w:t>
            </w:r>
            <w:r>
              <w:t>4000</w:t>
            </w:r>
          </w:p>
        </w:tc>
        <w:tc>
          <w:tcPr>
            <w:tcW w:w="931" w:type="pct"/>
            <w:vAlign w:val="center"/>
          </w:tcPr>
          <w:p>
            <w:pPr>
              <w:pStyle w:val="54"/>
            </w:pPr>
            <w:r>
              <w:rPr>
                <w:rFonts w:hint="eastAsia"/>
              </w:rPr>
              <w:t>庄桥街道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207" w:type="pct"/>
            <w:vMerge w:val="continue"/>
            <w:vAlign w:val="center"/>
          </w:tcPr>
          <w:p>
            <w:pPr>
              <w:pStyle w:val="54"/>
            </w:pPr>
          </w:p>
        </w:tc>
        <w:tc>
          <w:tcPr>
            <w:tcW w:w="177" w:type="pct"/>
            <w:vAlign w:val="center"/>
          </w:tcPr>
          <w:p>
            <w:pPr>
              <w:pStyle w:val="54"/>
            </w:pPr>
            <w:r>
              <w:rPr>
                <w:rFonts w:hint="eastAsia"/>
              </w:rPr>
              <w:t>2</w:t>
            </w:r>
            <w:r>
              <w:t>0</w:t>
            </w:r>
          </w:p>
        </w:tc>
        <w:tc>
          <w:tcPr>
            <w:tcW w:w="825" w:type="pct"/>
            <w:vAlign w:val="center"/>
          </w:tcPr>
          <w:p>
            <w:pPr>
              <w:pStyle w:val="54"/>
            </w:pPr>
            <w:r>
              <w:rPr>
                <w:rFonts w:hint="eastAsia"/>
              </w:rPr>
              <w:t>宁波市江北永发运输有限公司项目</w:t>
            </w:r>
          </w:p>
        </w:tc>
        <w:tc>
          <w:tcPr>
            <w:tcW w:w="1810" w:type="pct"/>
            <w:vAlign w:val="center"/>
          </w:tcPr>
          <w:p>
            <w:pPr>
              <w:pStyle w:val="54"/>
            </w:pPr>
            <w:r>
              <w:rPr>
                <w:rFonts w:hint="eastAsia"/>
              </w:rPr>
              <w:t>利用公司原有厂区进行改扩建增容减绿项目，总占地38亩，新扩建建筑4.9万平方米。年组装5万套电子配套及科创研发中心项目</w:t>
            </w:r>
          </w:p>
        </w:tc>
        <w:tc>
          <w:tcPr>
            <w:tcW w:w="548" w:type="pct"/>
            <w:vAlign w:val="center"/>
          </w:tcPr>
          <w:p>
            <w:pPr>
              <w:pStyle w:val="54"/>
            </w:pPr>
            <w:r>
              <w:t>2020-2022</w:t>
            </w:r>
          </w:p>
        </w:tc>
        <w:tc>
          <w:tcPr>
            <w:tcW w:w="502" w:type="pct"/>
            <w:vAlign w:val="center"/>
          </w:tcPr>
          <w:p>
            <w:pPr>
              <w:pStyle w:val="54"/>
            </w:pPr>
            <w:r>
              <w:rPr>
                <w:rFonts w:hint="eastAsia"/>
              </w:rPr>
              <w:t>1</w:t>
            </w:r>
            <w:r>
              <w:t>2000</w:t>
            </w:r>
          </w:p>
        </w:tc>
        <w:tc>
          <w:tcPr>
            <w:tcW w:w="931" w:type="pct"/>
            <w:vAlign w:val="center"/>
          </w:tcPr>
          <w:p>
            <w:pPr>
              <w:pStyle w:val="54"/>
            </w:pPr>
            <w:r>
              <w:rPr>
                <w:rFonts w:hint="eastAsia"/>
              </w:rPr>
              <w:t>庄桥街道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207" w:type="pct"/>
            <w:vMerge w:val="continue"/>
            <w:vAlign w:val="center"/>
          </w:tcPr>
          <w:p>
            <w:pPr>
              <w:pStyle w:val="54"/>
            </w:pPr>
          </w:p>
        </w:tc>
        <w:tc>
          <w:tcPr>
            <w:tcW w:w="177" w:type="pct"/>
            <w:vAlign w:val="center"/>
          </w:tcPr>
          <w:p>
            <w:pPr>
              <w:pStyle w:val="54"/>
            </w:pPr>
            <w:r>
              <w:rPr>
                <w:rFonts w:hint="eastAsia"/>
              </w:rPr>
              <w:t>2</w:t>
            </w:r>
            <w:r>
              <w:t>1</w:t>
            </w:r>
          </w:p>
        </w:tc>
        <w:tc>
          <w:tcPr>
            <w:tcW w:w="825" w:type="pct"/>
            <w:vAlign w:val="center"/>
          </w:tcPr>
          <w:p>
            <w:pPr>
              <w:pStyle w:val="54"/>
            </w:pPr>
            <w:r>
              <w:rPr>
                <w:rFonts w:hint="eastAsia"/>
              </w:rPr>
              <w:t>江北智能制造科创产业园厂房及研发楼建设项目（万科产业园项目）</w:t>
            </w:r>
          </w:p>
        </w:tc>
        <w:tc>
          <w:tcPr>
            <w:tcW w:w="1810" w:type="pct"/>
            <w:vAlign w:val="center"/>
          </w:tcPr>
          <w:p>
            <w:pPr>
              <w:pStyle w:val="54"/>
            </w:pPr>
            <w:r>
              <w:rPr>
                <w:rFonts w:hint="eastAsia"/>
              </w:rPr>
              <w:t>属增容减绿项目，总用地面积119亩，总建筑面积16.5万平方米，拟建研发车间、产业办公楼及综合楼</w:t>
            </w:r>
          </w:p>
        </w:tc>
        <w:tc>
          <w:tcPr>
            <w:tcW w:w="548" w:type="pct"/>
            <w:vAlign w:val="center"/>
          </w:tcPr>
          <w:p>
            <w:pPr>
              <w:pStyle w:val="54"/>
            </w:pPr>
            <w:r>
              <w:rPr>
                <w:rFonts w:hint="eastAsia"/>
              </w:rPr>
              <w:t>2</w:t>
            </w:r>
            <w:r>
              <w:t>020</w:t>
            </w:r>
            <w:r>
              <w:rPr>
                <w:rFonts w:hint="eastAsia"/>
              </w:rPr>
              <w:t>-</w:t>
            </w:r>
            <w:r>
              <w:t>2021</w:t>
            </w:r>
          </w:p>
        </w:tc>
        <w:tc>
          <w:tcPr>
            <w:tcW w:w="502" w:type="pct"/>
            <w:vAlign w:val="center"/>
          </w:tcPr>
          <w:p>
            <w:pPr>
              <w:pStyle w:val="54"/>
            </w:pPr>
            <w:r>
              <w:rPr>
                <w:rFonts w:hint="eastAsia"/>
              </w:rPr>
              <w:t>3</w:t>
            </w:r>
            <w:r>
              <w:t>0000</w:t>
            </w:r>
          </w:p>
        </w:tc>
        <w:tc>
          <w:tcPr>
            <w:tcW w:w="931" w:type="pct"/>
            <w:vAlign w:val="center"/>
          </w:tcPr>
          <w:p>
            <w:pPr>
              <w:pStyle w:val="54"/>
            </w:pPr>
            <w:r>
              <w:rPr>
                <w:rFonts w:hint="eastAsia"/>
              </w:rPr>
              <w:t>工业区管委会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207" w:type="pct"/>
            <w:vMerge w:val="continue"/>
            <w:vAlign w:val="center"/>
          </w:tcPr>
          <w:p>
            <w:pPr>
              <w:pStyle w:val="54"/>
            </w:pPr>
          </w:p>
        </w:tc>
        <w:tc>
          <w:tcPr>
            <w:tcW w:w="177" w:type="pct"/>
            <w:vAlign w:val="center"/>
          </w:tcPr>
          <w:p>
            <w:pPr>
              <w:pStyle w:val="54"/>
            </w:pPr>
            <w:r>
              <w:rPr>
                <w:rFonts w:hint="eastAsia"/>
              </w:rPr>
              <w:t>2</w:t>
            </w:r>
            <w:r>
              <w:t>2</w:t>
            </w:r>
          </w:p>
        </w:tc>
        <w:tc>
          <w:tcPr>
            <w:tcW w:w="825" w:type="pct"/>
            <w:vAlign w:val="center"/>
          </w:tcPr>
          <w:p>
            <w:pPr>
              <w:pStyle w:val="54"/>
            </w:pPr>
            <w:r>
              <w:rPr>
                <w:rFonts w:hint="eastAsia"/>
              </w:rPr>
              <w:t>宁波柯力人工智能研发中心项目</w:t>
            </w:r>
          </w:p>
        </w:tc>
        <w:tc>
          <w:tcPr>
            <w:tcW w:w="1810" w:type="pct"/>
            <w:vAlign w:val="center"/>
          </w:tcPr>
          <w:p>
            <w:pPr>
              <w:pStyle w:val="54"/>
            </w:pPr>
            <w:r>
              <w:rPr>
                <w:rFonts w:hint="eastAsia"/>
              </w:rPr>
              <w:t>增容减绿项目，占地面积4亩，总建筑面积约3.95万平方米.拟建18层研发中心</w:t>
            </w:r>
          </w:p>
        </w:tc>
        <w:tc>
          <w:tcPr>
            <w:tcW w:w="548" w:type="pct"/>
            <w:vAlign w:val="center"/>
          </w:tcPr>
          <w:p>
            <w:pPr>
              <w:pStyle w:val="54"/>
            </w:pPr>
            <w:r>
              <w:t>2020</w:t>
            </w:r>
            <w:r>
              <w:rPr>
                <w:rFonts w:hint="eastAsia"/>
              </w:rPr>
              <w:t>-</w:t>
            </w:r>
            <w:r>
              <w:t>2021</w:t>
            </w:r>
          </w:p>
        </w:tc>
        <w:tc>
          <w:tcPr>
            <w:tcW w:w="502" w:type="pct"/>
            <w:vAlign w:val="center"/>
          </w:tcPr>
          <w:p>
            <w:pPr>
              <w:pStyle w:val="54"/>
            </w:pPr>
            <w:r>
              <w:rPr>
                <w:rFonts w:hint="eastAsia"/>
              </w:rPr>
              <w:t>1</w:t>
            </w:r>
            <w:r>
              <w:t>2000</w:t>
            </w:r>
          </w:p>
        </w:tc>
        <w:tc>
          <w:tcPr>
            <w:tcW w:w="931" w:type="pct"/>
            <w:vAlign w:val="center"/>
          </w:tcPr>
          <w:p>
            <w:pPr>
              <w:pStyle w:val="54"/>
            </w:pPr>
            <w:r>
              <w:rPr>
                <w:rFonts w:hint="eastAsia"/>
              </w:rPr>
              <w:t>工业区管委会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207" w:type="pct"/>
            <w:vMerge w:val="continue"/>
            <w:vAlign w:val="center"/>
          </w:tcPr>
          <w:p>
            <w:pPr>
              <w:pStyle w:val="54"/>
            </w:pPr>
          </w:p>
        </w:tc>
        <w:tc>
          <w:tcPr>
            <w:tcW w:w="177" w:type="pct"/>
            <w:vAlign w:val="center"/>
          </w:tcPr>
          <w:p>
            <w:pPr>
              <w:pStyle w:val="54"/>
            </w:pPr>
            <w:r>
              <w:rPr>
                <w:rFonts w:hint="eastAsia"/>
              </w:rPr>
              <w:t>2</w:t>
            </w:r>
            <w:r>
              <w:t>3</w:t>
            </w:r>
          </w:p>
        </w:tc>
        <w:tc>
          <w:tcPr>
            <w:tcW w:w="825" w:type="pct"/>
            <w:vAlign w:val="center"/>
          </w:tcPr>
          <w:p>
            <w:pPr>
              <w:pStyle w:val="54"/>
            </w:pPr>
            <w:r>
              <w:rPr>
                <w:rFonts w:hint="eastAsia"/>
              </w:rPr>
              <w:t>格劳博总部基地项目</w:t>
            </w:r>
          </w:p>
        </w:tc>
        <w:tc>
          <w:tcPr>
            <w:tcW w:w="1810" w:type="pct"/>
            <w:vAlign w:val="center"/>
          </w:tcPr>
          <w:p>
            <w:pPr>
              <w:pStyle w:val="54"/>
            </w:pPr>
            <w:r>
              <w:rPr>
                <w:rFonts w:hint="eastAsia"/>
              </w:rPr>
              <w:t>占地18.816亩，主要从事工业自动化生产线的研发、生产和销售，年产200条新能源智能装备线</w:t>
            </w:r>
          </w:p>
        </w:tc>
        <w:tc>
          <w:tcPr>
            <w:tcW w:w="548" w:type="pct"/>
            <w:vAlign w:val="center"/>
          </w:tcPr>
          <w:p>
            <w:pPr>
              <w:pStyle w:val="54"/>
            </w:pPr>
            <w:r>
              <w:t>2021</w:t>
            </w:r>
            <w:r>
              <w:rPr>
                <w:rFonts w:hint="eastAsia"/>
              </w:rPr>
              <w:t>-</w:t>
            </w:r>
            <w:r>
              <w:t>2023</w:t>
            </w:r>
          </w:p>
        </w:tc>
        <w:tc>
          <w:tcPr>
            <w:tcW w:w="502" w:type="pct"/>
            <w:vAlign w:val="center"/>
          </w:tcPr>
          <w:p>
            <w:pPr>
              <w:pStyle w:val="54"/>
            </w:pPr>
            <w:r>
              <w:rPr>
                <w:rFonts w:hint="eastAsia"/>
              </w:rPr>
              <w:t>1</w:t>
            </w:r>
            <w:r>
              <w:t>5000</w:t>
            </w:r>
          </w:p>
        </w:tc>
        <w:tc>
          <w:tcPr>
            <w:tcW w:w="931" w:type="pct"/>
            <w:vAlign w:val="center"/>
          </w:tcPr>
          <w:p>
            <w:pPr>
              <w:pStyle w:val="54"/>
            </w:pPr>
            <w:r>
              <w:rPr>
                <w:rFonts w:hint="eastAsia"/>
              </w:rPr>
              <w:t>高新园区管委会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207" w:type="pct"/>
            <w:vMerge w:val="continue"/>
            <w:vAlign w:val="center"/>
          </w:tcPr>
          <w:p>
            <w:pPr>
              <w:pStyle w:val="54"/>
            </w:pPr>
          </w:p>
        </w:tc>
        <w:tc>
          <w:tcPr>
            <w:tcW w:w="177" w:type="pct"/>
            <w:vAlign w:val="center"/>
          </w:tcPr>
          <w:p>
            <w:pPr>
              <w:pStyle w:val="54"/>
            </w:pPr>
            <w:r>
              <w:rPr>
                <w:rFonts w:hint="eastAsia"/>
              </w:rPr>
              <w:t>2</w:t>
            </w:r>
            <w:r>
              <w:t>4</w:t>
            </w:r>
          </w:p>
        </w:tc>
        <w:tc>
          <w:tcPr>
            <w:tcW w:w="825" w:type="pct"/>
            <w:vAlign w:val="center"/>
          </w:tcPr>
          <w:p>
            <w:pPr>
              <w:pStyle w:val="54"/>
            </w:pPr>
            <w:r>
              <w:rPr>
                <w:rFonts w:hint="eastAsia"/>
              </w:rPr>
              <w:t>宁波通宁汽车电子有限公司项目</w:t>
            </w:r>
          </w:p>
        </w:tc>
        <w:tc>
          <w:tcPr>
            <w:tcW w:w="1810" w:type="pct"/>
            <w:vAlign w:val="center"/>
          </w:tcPr>
          <w:p>
            <w:pPr>
              <w:pStyle w:val="54"/>
            </w:pPr>
            <w:r>
              <w:rPr>
                <w:rFonts w:hint="eastAsia"/>
              </w:rPr>
              <w:t xml:space="preserve">新能源汽车微电机及热管理系统、智能感知清洗系统零部件生产基地建设项目，项目占地49.611亩，主要从事汽车微电机的研发、生产和销售 </w:t>
            </w:r>
          </w:p>
        </w:tc>
        <w:tc>
          <w:tcPr>
            <w:tcW w:w="548" w:type="pct"/>
            <w:vAlign w:val="center"/>
          </w:tcPr>
          <w:p>
            <w:pPr>
              <w:pStyle w:val="54"/>
            </w:pPr>
            <w:r>
              <w:t>2021</w:t>
            </w:r>
            <w:r>
              <w:rPr>
                <w:rFonts w:hint="eastAsia"/>
              </w:rPr>
              <w:t>-</w:t>
            </w:r>
            <w:r>
              <w:t>2023</w:t>
            </w:r>
          </w:p>
        </w:tc>
        <w:tc>
          <w:tcPr>
            <w:tcW w:w="502" w:type="pct"/>
            <w:vAlign w:val="center"/>
          </w:tcPr>
          <w:p>
            <w:pPr>
              <w:pStyle w:val="54"/>
            </w:pPr>
            <w:r>
              <w:rPr>
                <w:rFonts w:hint="eastAsia"/>
              </w:rPr>
              <w:t>4</w:t>
            </w:r>
            <w:r>
              <w:t>7000</w:t>
            </w:r>
          </w:p>
        </w:tc>
        <w:tc>
          <w:tcPr>
            <w:tcW w:w="931" w:type="pct"/>
            <w:vAlign w:val="center"/>
          </w:tcPr>
          <w:p>
            <w:pPr>
              <w:pStyle w:val="54"/>
            </w:pPr>
            <w:r>
              <w:rPr>
                <w:rFonts w:hint="eastAsia"/>
              </w:rPr>
              <w:t>高新园区管委会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207" w:type="pct"/>
            <w:vMerge w:val="continue"/>
            <w:vAlign w:val="center"/>
          </w:tcPr>
          <w:p>
            <w:pPr>
              <w:pStyle w:val="54"/>
            </w:pPr>
          </w:p>
        </w:tc>
        <w:tc>
          <w:tcPr>
            <w:tcW w:w="177" w:type="pct"/>
            <w:vAlign w:val="center"/>
          </w:tcPr>
          <w:p>
            <w:pPr>
              <w:pStyle w:val="54"/>
            </w:pPr>
            <w:r>
              <w:rPr>
                <w:rFonts w:hint="eastAsia"/>
              </w:rPr>
              <w:t>2</w:t>
            </w:r>
            <w:r>
              <w:t>5</w:t>
            </w:r>
          </w:p>
        </w:tc>
        <w:tc>
          <w:tcPr>
            <w:tcW w:w="825" w:type="pct"/>
            <w:vAlign w:val="center"/>
          </w:tcPr>
          <w:p>
            <w:pPr>
              <w:pStyle w:val="54"/>
            </w:pPr>
            <w:r>
              <w:rPr>
                <w:rFonts w:hint="eastAsia"/>
              </w:rPr>
              <w:t>吉星（宁波）医疗科技有限公司项目</w:t>
            </w:r>
          </w:p>
        </w:tc>
        <w:tc>
          <w:tcPr>
            <w:tcW w:w="1810" w:type="pct"/>
            <w:vAlign w:val="center"/>
          </w:tcPr>
          <w:p>
            <w:pPr>
              <w:pStyle w:val="54"/>
            </w:pPr>
            <w:r>
              <w:rPr>
                <w:rFonts w:hint="eastAsia"/>
              </w:rPr>
              <w:t>项目占地面积20.6亩，年产500万套个人安全防护产品、汽车电子产品及医疗器械产品的产业化项目，项目建设完成后，产能达到500万套（件），年销售额达到1.5亿元左右，年亩均税收不低于80万元</w:t>
            </w:r>
          </w:p>
        </w:tc>
        <w:tc>
          <w:tcPr>
            <w:tcW w:w="548" w:type="pct"/>
            <w:vAlign w:val="center"/>
          </w:tcPr>
          <w:p>
            <w:pPr>
              <w:pStyle w:val="54"/>
            </w:pPr>
            <w:r>
              <w:t>2021</w:t>
            </w:r>
            <w:r>
              <w:rPr>
                <w:rFonts w:hint="eastAsia"/>
              </w:rPr>
              <w:t>-</w:t>
            </w:r>
            <w:r>
              <w:t>2023</w:t>
            </w:r>
          </w:p>
        </w:tc>
        <w:tc>
          <w:tcPr>
            <w:tcW w:w="502" w:type="pct"/>
            <w:vAlign w:val="center"/>
          </w:tcPr>
          <w:p>
            <w:pPr>
              <w:pStyle w:val="54"/>
            </w:pPr>
            <w:r>
              <w:rPr>
                <w:rFonts w:hint="eastAsia"/>
              </w:rPr>
              <w:t>9</w:t>
            </w:r>
            <w:r>
              <w:t>000</w:t>
            </w:r>
          </w:p>
        </w:tc>
        <w:tc>
          <w:tcPr>
            <w:tcW w:w="931" w:type="pct"/>
            <w:vAlign w:val="center"/>
          </w:tcPr>
          <w:p>
            <w:pPr>
              <w:pStyle w:val="54"/>
            </w:pPr>
            <w:r>
              <w:rPr>
                <w:rFonts w:hint="eastAsia"/>
              </w:rPr>
              <w:t>慈城镇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207" w:type="pct"/>
            <w:vMerge w:val="continue"/>
            <w:vAlign w:val="center"/>
          </w:tcPr>
          <w:p>
            <w:pPr>
              <w:pStyle w:val="54"/>
            </w:pPr>
          </w:p>
        </w:tc>
        <w:tc>
          <w:tcPr>
            <w:tcW w:w="177" w:type="pct"/>
            <w:vAlign w:val="center"/>
          </w:tcPr>
          <w:p>
            <w:pPr>
              <w:pStyle w:val="54"/>
            </w:pPr>
            <w:r>
              <w:rPr>
                <w:rFonts w:hint="eastAsia"/>
              </w:rPr>
              <w:t>2</w:t>
            </w:r>
            <w:r>
              <w:t>6</w:t>
            </w:r>
          </w:p>
        </w:tc>
        <w:tc>
          <w:tcPr>
            <w:tcW w:w="825" w:type="pct"/>
            <w:vAlign w:val="center"/>
          </w:tcPr>
          <w:p>
            <w:pPr>
              <w:pStyle w:val="54"/>
            </w:pPr>
            <w:r>
              <w:rPr>
                <w:rFonts w:hint="eastAsia"/>
              </w:rPr>
              <w:t>爱柯迪股份有限公司智能制造生产研发项目</w:t>
            </w:r>
          </w:p>
        </w:tc>
        <w:tc>
          <w:tcPr>
            <w:tcW w:w="1810" w:type="pct"/>
            <w:vAlign w:val="center"/>
          </w:tcPr>
          <w:p>
            <w:pPr>
              <w:pStyle w:val="54"/>
            </w:pPr>
            <w:r>
              <w:rPr>
                <w:rFonts w:hint="eastAsia"/>
              </w:rPr>
              <w:t>项目总用地面积约110亩，主要从事高端汽车零部件的研发、生产和制造</w:t>
            </w:r>
          </w:p>
        </w:tc>
        <w:tc>
          <w:tcPr>
            <w:tcW w:w="548" w:type="pct"/>
            <w:vAlign w:val="center"/>
          </w:tcPr>
          <w:p>
            <w:pPr>
              <w:pStyle w:val="54"/>
            </w:pPr>
            <w:r>
              <w:rPr>
                <w:rFonts w:hint="eastAsia"/>
              </w:rPr>
              <w:t>2</w:t>
            </w:r>
            <w:r>
              <w:t>020</w:t>
            </w:r>
            <w:r>
              <w:rPr>
                <w:rFonts w:hint="eastAsia"/>
              </w:rPr>
              <w:t>-</w:t>
            </w:r>
            <w:r>
              <w:t>2023</w:t>
            </w:r>
          </w:p>
        </w:tc>
        <w:tc>
          <w:tcPr>
            <w:tcW w:w="502" w:type="pct"/>
            <w:vAlign w:val="center"/>
          </w:tcPr>
          <w:p>
            <w:pPr>
              <w:pStyle w:val="54"/>
            </w:pPr>
            <w:r>
              <w:rPr>
                <w:rFonts w:hint="eastAsia"/>
              </w:rPr>
              <w:t>5</w:t>
            </w:r>
            <w:r>
              <w:t>3600</w:t>
            </w:r>
          </w:p>
        </w:tc>
        <w:tc>
          <w:tcPr>
            <w:tcW w:w="931" w:type="pct"/>
            <w:vAlign w:val="center"/>
          </w:tcPr>
          <w:p>
            <w:pPr>
              <w:pStyle w:val="54"/>
            </w:pPr>
            <w:r>
              <w:rPr>
                <w:rFonts w:hint="eastAsia"/>
              </w:rPr>
              <w:t>高新园区管委会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207" w:type="pct"/>
            <w:vMerge w:val="continue"/>
            <w:vAlign w:val="center"/>
          </w:tcPr>
          <w:p>
            <w:pPr>
              <w:pStyle w:val="54"/>
            </w:pPr>
          </w:p>
        </w:tc>
        <w:tc>
          <w:tcPr>
            <w:tcW w:w="177" w:type="pct"/>
            <w:vAlign w:val="center"/>
          </w:tcPr>
          <w:p>
            <w:pPr>
              <w:pStyle w:val="54"/>
            </w:pPr>
            <w:r>
              <w:rPr>
                <w:rFonts w:hint="eastAsia"/>
              </w:rPr>
              <w:t>2</w:t>
            </w:r>
            <w:r>
              <w:t>7</w:t>
            </w:r>
          </w:p>
        </w:tc>
        <w:tc>
          <w:tcPr>
            <w:tcW w:w="825" w:type="pct"/>
            <w:vAlign w:val="center"/>
          </w:tcPr>
          <w:p>
            <w:pPr>
              <w:pStyle w:val="54"/>
            </w:pPr>
            <w:r>
              <w:rPr>
                <w:rFonts w:hint="eastAsia"/>
              </w:rPr>
              <w:t>宁波市新康力乳业有限公司的进口农产品加工厂项目</w:t>
            </w:r>
          </w:p>
        </w:tc>
        <w:tc>
          <w:tcPr>
            <w:tcW w:w="1810" w:type="pct"/>
            <w:vAlign w:val="center"/>
          </w:tcPr>
          <w:p>
            <w:pPr>
              <w:pStyle w:val="54"/>
            </w:pPr>
            <w:r>
              <w:rPr>
                <w:rFonts w:hint="eastAsia"/>
              </w:rPr>
              <w:t>扩建拟拆除1幢现状厂房（约1.1万平方米）后新建2幢厂房（约4.3万平方米），新建后容积率从原来的1.26增至1.81左右</w:t>
            </w:r>
          </w:p>
        </w:tc>
        <w:tc>
          <w:tcPr>
            <w:tcW w:w="548" w:type="pct"/>
            <w:vAlign w:val="center"/>
          </w:tcPr>
          <w:p>
            <w:pPr>
              <w:pStyle w:val="54"/>
            </w:pPr>
            <w:r>
              <w:rPr>
                <w:rFonts w:hint="eastAsia"/>
              </w:rPr>
              <w:t>2</w:t>
            </w:r>
            <w:r>
              <w:t>020</w:t>
            </w:r>
            <w:r>
              <w:rPr>
                <w:rFonts w:hint="eastAsia"/>
              </w:rPr>
              <w:t>-</w:t>
            </w:r>
            <w:r>
              <w:t>2022</w:t>
            </w:r>
          </w:p>
        </w:tc>
        <w:tc>
          <w:tcPr>
            <w:tcW w:w="502" w:type="pct"/>
            <w:vAlign w:val="center"/>
          </w:tcPr>
          <w:p>
            <w:pPr>
              <w:pStyle w:val="54"/>
            </w:pPr>
            <w:r>
              <w:rPr>
                <w:rFonts w:hint="eastAsia"/>
              </w:rPr>
              <w:t>3</w:t>
            </w:r>
            <w:r>
              <w:t>2000</w:t>
            </w:r>
          </w:p>
        </w:tc>
        <w:tc>
          <w:tcPr>
            <w:tcW w:w="931" w:type="pct"/>
            <w:vAlign w:val="center"/>
          </w:tcPr>
          <w:p>
            <w:pPr>
              <w:pStyle w:val="54"/>
            </w:pPr>
            <w:r>
              <w:rPr>
                <w:rFonts w:hint="eastAsia"/>
              </w:rPr>
              <w:t>工业区管委会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207" w:type="pct"/>
            <w:vMerge w:val="continue"/>
            <w:vAlign w:val="center"/>
          </w:tcPr>
          <w:p>
            <w:pPr>
              <w:pStyle w:val="54"/>
            </w:pPr>
          </w:p>
        </w:tc>
        <w:tc>
          <w:tcPr>
            <w:tcW w:w="177" w:type="pct"/>
            <w:vAlign w:val="center"/>
          </w:tcPr>
          <w:p>
            <w:pPr>
              <w:pStyle w:val="54"/>
            </w:pPr>
            <w:r>
              <w:rPr>
                <w:rFonts w:hint="eastAsia"/>
              </w:rPr>
              <w:t>2</w:t>
            </w:r>
            <w:r>
              <w:t>8</w:t>
            </w:r>
          </w:p>
        </w:tc>
        <w:tc>
          <w:tcPr>
            <w:tcW w:w="825" w:type="pct"/>
            <w:vAlign w:val="center"/>
          </w:tcPr>
          <w:p>
            <w:pPr>
              <w:pStyle w:val="54"/>
            </w:pPr>
            <w:r>
              <w:rPr>
                <w:rFonts w:hint="eastAsia"/>
              </w:rPr>
              <w:t>宁波银行金融科技产业园</w:t>
            </w:r>
          </w:p>
        </w:tc>
        <w:tc>
          <w:tcPr>
            <w:tcW w:w="1810" w:type="pct"/>
            <w:vAlign w:val="center"/>
          </w:tcPr>
          <w:p>
            <w:pPr>
              <w:pStyle w:val="54"/>
            </w:pPr>
            <w:r>
              <w:rPr>
                <w:rFonts w:hint="eastAsia"/>
              </w:rPr>
              <w:t>项目总用地面积22.3亩，总建筑面积68781.5㎡，其中地上建筑面积47521.5㎡，地下建筑面积21260㎡</w:t>
            </w:r>
          </w:p>
        </w:tc>
        <w:tc>
          <w:tcPr>
            <w:tcW w:w="548" w:type="pct"/>
            <w:vAlign w:val="center"/>
          </w:tcPr>
          <w:p>
            <w:pPr>
              <w:pStyle w:val="54"/>
            </w:pPr>
            <w:r>
              <w:rPr>
                <w:rFonts w:hint="eastAsia"/>
              </w:rPr>
              <w:t>2</w:t>
            </w:r>
            <w:r>
              <w:t>021</w:t>
            </w:r>
            <w:r>
              <w:rPr>
                <w:rFonts w:hint="eastAsia"/>
              </w:rPr>
              <w:t>-</w:t>
            </w:r>
            <w:r>
              <w:t>2024</w:t>
            </w:r>
          </w:p>
        </w:tc>
        <w:tc>
          <w:tcPr>
            <w:tcW w:w="502" w:type="pct"/>
            <w:vAlign w:val="center"/>
          </w:tcPr>
          <w:p>
            <w:pPr>
              <w:pStyle w:val="54"/>
            </w:pPr>
            <w:r>
              <w:rPr>
                <w:rFonts w:hint="eastAsia"/>
              </w:rPr>
              <w:t>5</w:t>
            </w:r>
            <w:r>
              <w:t>3000</w:t>
            </w:r>
          </w:p>
        </w:tc>
        <w:tc>
          <w:tcPr>
            <w:tcW w:w="931" w:type="pct"/>
            <w:vAlign w:val="center"/>
          </w:tcPr>
          <w:p>
            <w:pPr>
              <w:pStyle w:val="54"/>
            </w:pPr>
            <w:r>
              <w:rPr>
                <w:rFonts w:hint="eastAsia"/>
              </w:rPr>
              <w:t>前洋经济开发区管委会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207" w:type="pct"/>
            <w:vMerge w:val="continue"/>
            <w:vAlign w:val="center"/>
          </w:tcPr>
          <w:p>
            <w:pPr>
              <w:pStyle w:val="54"/>
            </w:pPr>
          </w:p>
        </w:tc>
        <w:tc>
          <w:tcPr>
            <w:tcW w:w="177" w:type="pct"/>
            <w:vAlign w:val="center"/>
          </w:tcPr>
          <w:p>
            <w:pPr>
              <w:pStyle w:val="54"/>
            </w:pPr>
            <w:r>
              <w:rPr>
                <w:rFonts w:hint="eastAsia"/>
              </w:rPr>
              <w:t>2</w:t>
            </w:r>
            <w:r>
              <w:t>9</w:t>
            </w:r>
          </w:p>
        </w:tc>
        <w:tc>
          <w:tcPr>
            <w:tcW w:w="825" w:type="pct"/>
            <w:vAlign w:val="center"/>
          </w:tcPr>
          <w:p>
            <w:pPr>
              <w:pStyle w:val="54"/>
            </w:pPr>
            <w:r>
              <w:rPr>
                <w:rFonts w:hint="eastAsia"/>
              </w:rPr>
              <w:t>前洋商务大厦建设项目</w:t>
            </w:r>
          </w:p>
        </w:tc>
        <w:tc>
          <w:tcPr>
            <w:tcW w:w="1810" w:type="pct"/>
            <w:vAlign w:val="center"/>
          </w:tcPr>
          <w:p>
            <w:pPr>
              <w:pStyle w:val="54"/>
            </w:pPr>
            <w:r>
              <w:rPr>
                <w:rFonts w:hint="eastAsia"/>
              </w:rPr>
              <w:t>在宁波电商经济创新园区核心区内建设前洋商务大厦，打造园区现代化办公场所</w:t>
            </w:r>
          </w:p>
        </w:tc>
        <w:tc>
          <w:tcPr>
            <w:tcW w:w="548" w:type="pct"/>
            <w:vAlign w:val="center"/>
          </w:tcPr>
          <w:p>
            <w:pPr>
              <w:pStyle w:val="54"/>
            </w:pPr>
            <w:r>
              <w:rPr>
                <w:rFonts w:hint="eastAsia"/>
              </w:rPr>
              <w:t>2</w:t>
            </w:r>
            <w:r>
              <w:t>021</w:t>
            </w:r>
            <w:r>
              <w:rPr>
                <w:rFonts w:hint="eastAsia"/>
              </w:rPr>
              <w:t>-</w:t>
            </w:r>
            <w:r>
              <w:t>2025</w:t>
            </w:r>
          </w:p>
        </w:tc>
        <w:tc>
          <w:tcPr>
            <w:tcW w:w="502" w:type="pct"/>
            <w:vAlign w:val="center"/>
          </w:tcPr>
          <w:p>
            <w:pPr>
              <w:pStyle w:val="54"/>
            </w:pPr>
            <w:r>
              <w:rPr>
                <w:rFonts w:hint="eastAsia"/>
              </w:rPr>
              <w:t>5</w:t>
            </w:r>
            <w:r>
              <w:t>5000</w:t>
            </w:r>
          </w:p>
        </w:tc>
        <w:tc>
          <w:tcPr>
            <w:tcW w:w="931" w:type="pct"/>
            <w:vAlign w:val="center"/>
          </w:tcPr>
          <w:p>
            <w:pPr>
              <w:pStyle w:val="54"/>
            </w:pPr>
            <w:r>
              <w:rPr>
                <w:rFonts w:hint="eastAsia"/>
              </w:rPr>
              <w:t>前洋经济开发区管委会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207" w:type="pct"/>
            <w:vMerge w:val="continue"/>
            <w:vAlign w:val="center"/>
          </w:tcPr>
          <w:p>
            <w:pPr>
              <w:pStyle w:val="54"/>
            </w:pPr>
          </w:p>
        </w:tc>
        <w:tc>
          <w:tcPr>
            <w:tcW w:w="177" w:type="pct"/>
            <w:vAlign w:val="center"/>
          </w:tcPr>
          <w:p>
            <w:pPr>
              <w:pStyle w:val="54"/>
            </w:pPr>
            <w:r>
              <w:rPr>
                <w:rFonts w:hint="eastAsia"/>
              </w:rPr>
              <w:t>3</w:t>
            </w:r>
            <w:r>
              <w:t>0</w:t>
            </w:r>
          </w:p>
        </w:tc>
        <w:tc>
          <w:tcPr>
            <w:tcW w:w="825" w:type="pct"/>
            <w:vAlign w:val="center"/>
          </w:tcPr>
          <w:p>
            <w:pPr>
              <w:pStyle w:val="54"/>
            </w:pPr>
            <w:r>
              <w:rPr>
                <w:rFonts w:hint="eastAsia"/>
              </w:rPr>
              <w:t>慈城私营工业城二次开发</w:t>
            </w:r>
          </w:p>
        </w:tc>
        <w:tc>
          <w:tcPr>
            <w:tcW w:w="1810" w:type="pct"/>
            <w:vAlign w:val="center"/>
          </w:tcPr>
          <w:p>
            <w:pPr>
              <w:pStyle w:val="54"/>
            </w:pPr>
            <w:r>
              <w:rPr>
                <w:rFonts w:hint="eastAsia"/>
              </w:rPr>
              <w:t>北至铁路，南至新横九路，东西至现状河道，总占地面积约2500亩</w:t>
            </w:r>
          </w:p>
        </w:tc>
        <w:tc>
          <w:tcPr>
            <w:tcW w:w="548" w:type="pct"/>
            <w:vAlign w:val="center"/>
          </w:tcPr>
          <w:p>
            <w:pPr>
              <w:pStyle w:val="54"/>
            </w:pPr>
            <w:r>
              <w:rPr>
                <w:rFonts w:hint="eastAsia"/>
              </w:rPr>
              <w:t>2</w:t>
            </w:r>
            <w:r>
              <w:t>021</w:t>
            </w:r>
            <w:r>
              <w:rPr>
                <w:rFonts w:hint="eastAsia"/>
              </w:rPr>
              <w:t>-</w:t>
            </w:r>
            <w:r>
              <w:t>2025</w:t>
            </w:r>
          </w:p>
        </w:tc>
        <w:tc>
          <w:tcPr>
            <w:tcW w:w="502" w:type="pct"/>
            <w:vAlign w:val="center"/>
          </w:tcPr>
          <w:p>
            <w:pPr>
              <w:pStyle w:val="54"/>
            </w:pPr>
            <w:r>
              <w:rPr>
                <w:rFonts w:hint="eastAsia"/>
              </w:rPr>
              <w:t>/</w:t>
            </w:r>
          </w:p>
        </w:tc>
        <w:tc>
          <w:tcPr>
            <w:tcW w:w="931" w:type="pct"/>
            <w:vAlign w:val="center"/>
          </w:tcPr>
          <w:p>
            <w:pPr>
              <w:pStyle w:val="54"/>
            </w:pPr>
            <w:r>
              <w:rPr>
                <w:rFonts w:hint="eastAsia"/>
              </w:rPr>
              <w:t>慈城镇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207" w:type="pct"/>
            <w:vMerge w:val="continue"/>
            <w:vAlign w:val="center"/>
          </w:tcPr>
          <w:p>
            <w:pPr>
              <w:pStyle w:val="54"/>
            </w:pPr>
          </w:p>
        </w:tc>
        <w:tc>
          <w:tcPr>
            <w:tcW w:w="177" w:type="pct"/>
            <w:vAlign w:val="center"/>
          </w:tcPr>
          <w:p>
            <w:pPr>
              <w:pStyle w:val="54"/>
            </w:pPr>
            <w:r>
              <w:t>31</w:t>
            </w:r>
          </w:p>
        </w:tc>
        <w:tc>
          <w:tcPr>
            <w:tcW w:w="825" w:type="pct"/>
            <w:vAlign w:val="center"/>
          </w:tcPr>
          <w:p>
            <w:pPr>
              <w:pStyle w:val="54"/>
            </w:pPr>
            <w:r>
              <w:rPr>
                <w:rFonts w:hint="eastAsia"/>
              </w:rPr>
              <w:t>工业区二次开发</w:t>
            </w:r>
          </w:p>
        </w:tc>
        <w:tc>
          <w:tcPr>
            <w:tcW w:w="1810" w:type="pct"/>
            <w:vAlign w:val="center"/>
          </w:tcPr>
          <w:p>
            <w:pPr>
              <w:pStyle w:val="54"/>
            </w:pPr>
            <w:r>
              <w:rPr>
                <w:rFonts w:hint="eastAsia"/>
              </w:rPr>
              <w:t>江北区工业区、慈城私营工业城、甬江工业区二次开发提升</w:t>
            </w:r>
          </w:p>
        </w:tc>
        <w:tc>
          <w:tcPr>
            <w:tcW w:w="548" w:type="pct"/>
            <w:vAlign w:val="center"/>
          </w:tcPr>
          <w:p>
            <w:pPr>
              <w:pStyle w:val="54"/>
            </w:pPr>
            <w:r>
              <w:rPr>
                <w:rFonts w:hint="eastAsia"/>
              </w:rPr>
              <w:t>2</w:t>
            </w:r>
            <w:r>
              <w:t>021</w:t>
            </w:r>
            <w:r>
              <w:rPr>
                <w:rFonts w:hint="eastAsia"/>
              </w:rPr>
              <w:t>-</w:t>
            </w:r>
            <w:r>
              <w:t>2025</w:t>
            </w:r>
          </w:p>
        </w:tc>
        <w:tc>
          <w:tcPr>
            <w:tcW w:w="502" w:type="pct"/>
            <w:vAlign w:val="center"/>
          </w:tcPr>
          <w:p>
            <w:pPr>
              <w:pStyle w:val="54"/>
            </w:pPr>
            <w:r>
              <w:rPr>
                <w:rFonts w:hint="eastAsia"/>
              </w:rPr>
              <w:t>/</w:t>
            </w:r>
          </w:p>
        </w:tc>
        <w:tc>
          <w:tcPr>
            <w:tcW w:w="931" w:type="pct"/>
            <w:vAlign w:val="center"/>
          </w:tcPr>
          <w:p>
            <w:pPr>
              <w:pStyle w:val="54"/>
            </w:pPr>
            <w:r>
              <w:rPr>
                <w:rFonts w:hint="eastAsia"/>
              </w:rPr>
              <w:t>慈城镇、工业区管委会、甬江街道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207" w:type="pct"/>
            <w:vMerge w:val="continue"/>
            <w:vAlign w:val="center"/>
          </w:tcPr>
          <w:p>
            <w:pPr>
              <w:pStyle w:val="54"/>
            </w:pPr>
          </w:p>
        </w:tc>
        <w:tc>
          <w:tcPr>
            <w:tcW w:w="177" w:type="pct"/>
            <w:vAlign w:val="center"/>
          </w:tcPr>
          <w:p>
            <w:pPr>
              <w:pStyle w:val="54"/>
            </w:pPr>
            <w:r>
              <w:rPr>
                <w:rFonts w:hint="eastAsia"/>
              </w:rPr>
              <w:t>3</w:t>
            </w:r>
            <w:r>
              <w:t>2</w:t>
            </w:r>
          </w:p>
        </w:tc>
        <w:tc>
          <w:tcPr>
            <w:tcW w:w="825" w:type="pct"/>
            <w:vAlign w:val="center"/>
          </w:tcPr>
          <w:p>
            <w:pPr>
              <w:pStyle w:val="54"/>
            </w:pPr>
            <w:r>
              <w:rPr>
                <w:rFonts w:hint="eastAsia"/>
              </w:rPr>
              <w:t>甬江国家农村产业融合示范园提升项目</w:t>
            </w:r>
          </w:p>
        </w:tc>
        <w:tc>
          <w:tcPr>
            <w:tcW w:w="1810" w:type="pct"/>
            <w:vAlign w:val="center"/>
          </w:tcPr>
          <w:p>
            <w:pPr>
              <w:pStyle w:val="54"/>
            </w:pPr>
            <w:r>
              <w:rPr>
                <w:rFonts w:hint="eastAsia"/>
              </w:rPr>
              <w:t>梅竹路以西厂房升级改造；徐江岸新屋打造文创村；建设一个大型现代化农业智能设施大棚；打造西大河湿地公园。</w:t>
            </w:r>
          </w:p>
        </w:tc>
        <w:tc>
          <w:tcPr>
            <w:tcW w:w="548" w:type="pct"/>
            <w:vAlign w:val="center"/>
          </w:tcPr>
          <w:p>
            <w:pPr>
              <w:pStyle w:val="54"/>
            </w:pPr>
            <w:r>
              <w:rPr>
                <w:rFonts w:hint="eastAsia"/>
              </w:rPr>
              <w:t>2</w:t>
            </w:r>
            <w:r>
              <w:t>021</w:t>
            </w:r>
            <w:r>
              <w:rPr>
                <w:rFonts w:hint="eastAsia"/>
              </w:rPr>
              <w:t>-</w:t>
            </w:r>
            <w:r>
              <w:t>2025</w:t>
            </w:r>
          </w:p>
        </w:tc>
        <w:tc>
          <w:tcPr>
            <w:tcW w:w="502" w:type="pct"/>
            <w:vAlign w:val="center"/>
          </w:tcPr>
          <w:p>
            <w:pPr>
              <w:pStyle w:val="54"/>
            </w:pPr>
            <w:r>
              <w:t>32000</w:t>
            </w:r>
          </w:p>
        </w:tc>
        <w:tc>
          <w:tcPr>
            <w:tcW w:w="931" w:type="pct"/>
            <w:vAlign w:val="center"/>
          </w:tcPr>
          <w:p>
            <w:pPr>
              <w:pStyle w:val="54"/>
            </w:pPr>
            <w:r>
              <w:rPr>
                <w:rFonts w:hint="eastAsia"/>
              </w:rPr>
              <w:t>甬江</w:t>
            </w:r>
          </w:p>
          <w:p>
            <w:pPr>
              <w:pStyle w:val="54"/>
            </w:pPr>
            <w:r>
              <w:rPr>
                <w:rFonts w:hint="eastAsia"/>
              </w:rPr>
              <w:t>街道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207" w:type="pct"/>
            <w:vMerge w:val="continue"/>
            <w:vAlign w:val="center"/>
          </w:tcPr>
          <w:p>
            <w:pPr>
              <w:pStyle w:val="54"/>
            </w:pPr>
          </w:p>
        </w:tc>
        <w:tc>
          <w:tcPr>
            <w:tcW w:w="177" w:type="pct"/>
            <w:vAlign w:val="center"/>
          </w:tcPr>
          <w:p>
            <w:pPr>
              <w:pStyle w:val="54"/>
            </w:pPr>
            <w:r>
              <w:rPr>
                <w:rFonts w:hint="eastAsia"/>
              </w:rPr>
              <w:t>3</w:t>
            </w:r>
            <w:r>
              <w:t>3</w:t>
            </w:r>
          </w:p>
        </w:tc>
        <w:tc>
          <w:tcPr>
            <w:tcW w:w="825" w:type="pct"/>
            <w:vAlign w:val="center"/>
          </w:tcPr>
          <w:p>
            <w:pPr>
              <w:pStyle w:val="54"/>
            </w:pPr>
            <w:r>
              <w:rPr>
                <w:rFonts w:hint="eastAsia"/>
              </w:rPr>
              <w:t>粮食绿色高产优质化工程</w:t>
            </w:r>
          </w:p>
        </w:tc>
        <w:tc>
          <w:tcPr>
            <w:tcW w:w="1810" w:type="pct"/>
            <w:vAlign w:val="center"/>
          </w:tcPr>
          <w:p>
            <w:pPr>
              <w:pStyle w:val="54"/>
            </w:pPr>
            <w:r>
              <w:rPr>
                <w:rFonts w:hint="eastAsia"/>
              </w:rPr>
              <w:t>建设2个粮食绿色高产示范基地、1个优质稻米示范基地，粮食播种面积保持在4万亩以上，产量稳定在2万吨。建设1个放心蔬菜保供基地，蔬菜播种面积保持在1.9万亩以上，产量稳定在2.4万吨。</w:t>
            </w:r>
          </w:p>
        </w:tc>
        <w:tc>
          <w:tcPr>
            <w:tcW w:w="548" w:type="pct"/>
            <w:vAlign w:val="center"/>
          </w:tcPr>
          <w:p>
            <w:pPr>
              <w:pStyle w:val="54"/>
            </w:pPr>
            <w:r>
              <w:rPr>
                <w:rFonts w:hint="eastAsia"/>
              </w:rPr>
              <w:t>2</w:t>
            </w:r>
            <w:r>
              <w:t>021-2025</w:t>
            </w:r>
          </w:p>
        </w:tc>
        <w:tc>
          <w:tcPr>
            <w:tcW w:w="502" w:type="pct"/>
            <w:vAlign w:val="center"/>
          </w:tcPr>
          <w:p>
            <w:pPr>
              <w:pStyle w:val="54"/>
            </w:pPr>
            <w:r>
              <w:rPr>
                <w:rFonts w:hint="eastAsia"/>
              </w:rPr>
              <w:t>/</w:t>
            </w:r>
          </w:p>
        </w:tc>
        <w:tc>
          <w:tcPr>
            <w:tcW w:w="931" w:type="pct"/>
            <w:vAlign w:val="center"/>
          </w:tcPr>
          <w:p>
            <w:pPr>
              <w:pStyle w:val="54"/>
            </w:pPr>
            <w:r>
              <w:t>区农业农村局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207" w:type="pct"/>
            <w:vMerge w:val="continue"/>
            <w:vAlign w:val="center"/>
          </w:tcPr>
          <w:p>
            <w:pPr>
              <w:pStyle w:val="54"/>
            </w:pPr>
          </w:p>
        </w:tc>
        <w:tc>
          <w:tcPr>
            <w:tcW w:w="177" w:type="pct"/>
            <w:vAlign w:val="center"/>
          </w:tcPr>
          <w:p>
            <w:pPr>
              <w:pStyle w:val="54"/>
            </w:pPr>
            <w:r>
              <w:rPr>
                <w:rFonts w:hint="eastAsia"/>
              </w:rPr>
              <w:t>3</w:t>
            </w:r>
            <w:r>
              <w:t>4</w:t>
            </w:r>
          </w:p>
        </w:tc>
        <w:tc>
          <w:tcPr>
            <w:tcW w:w="825" w:type="pct"/>
            <w:vAlign w:val="center"/>
          </w:tcPr>
          <w:p>
            <w:pPr>
              <w:pStyle w:val="54"/>
            </w:pPr>
            <w:r>
              <w:rPr>
                <w:rFonts w:hint="eastAsia"/>
              </w:rPr>
              <w:t>农田基础设施建设</w:t>
            </w:r>
          </w:p>
        </w:tc>
        <w:tc>
          <w:tcPr>
            <w:tcW w:w="1810" w:type="pct"/>
            <w:vAlign w:val="center"/>
          </w:tcPr>
          <w:p>
            <w:pPr>
              <w:pStyle w:val="54"/>
            </w:pPr>
            <w:r>
              <w:rPr>
                <w:rFonts w:hint="eastAsia"/>
              </w:rPr>
              <w:t>建成高标准农田4.4万亩，农田旱涝保收面积占基本农田面积的80%，设施农业面积达到1.5万亩</w:t>
            </w:r>
          </w:p>
        </w:tc>
        <w:tc>
          <w:tcPr>
            <w:tcW w:w="548" w:type="pct"/>
            <w:vAlign w:val="center"/>
          </w:tcPr>
          <w:p>
            <w:pPr>
              <w:pStyle w:val="54"/>
            </w:pPr>
            <w:r>
              <w:rPr>
                <w:rFonts w:hint="eastAsia"/>
              </w:rPr>
              <w:t>2</w:t>
            </w:r>
            <w:r>
              <w:t>021</w:t>
            </w:r>
            <w:r>
              <w:rPr>
                <w:rFonts w:hint="eastAsia"/>
              </w:rPr>
              <w:t>-</w:t>
            </w:r>
            <w:r>
              <w:t>2015</w:t>
            </w:r>
          </w:p>
        </w:tc>
        <w:tc>
          <w:tcPr>
            <w:tcW w:w="502" w:type="pct"/>
            <w:vAlign w:val="center"/>
          </w:tcPr>
          <w:p>
            <w:pPr>
              <w:pStyle w:val="54"/>
            </w:pPr>
            <w:r>
              <w:rPr>
                <w:rFonts w:hint="eastAsia"/>
              </w:rPr>
              <w:t>/</w:t>
            </w:r>
          </w:p>
        </w:tc>
        <w:tc>
          <w:tcPr>
            <w:tcW w:w="931" w:type="pct"/>
            <w:vAlign w:val="center"/>
          </w:tcPr>
          <w:p>
            <w:pPr>
              <w:pStyle w:val="54"/>
            </w:pPr>
            <w:r>
              <w:t>区农业农村局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07" w:type="pct"/>
            <w:vMerge w:val="restart"/>
            <w:vAlign w:val="center"/>
          </w:tcPr>
          <w:p>
            <w:pPr>
              <w:pStyle w:val="54"/>
            </w:pPr>
            <w:r>
              <w:t>生态生活体系</w:t>
            </w:r>
          </w:p>
        </w:tc>
        <w:tc>
          <w:tcPr>
            <w:tcW w:w="177" w:type="pct"/>
            <w:vAlign w:val="center"/>
          </w:tcPr>
          <w:p>
            <w:pPr>
              <w:pStyle w:val="54"/>
            </w:pPr>
            <w:r>
              <w:t>35</w:t>
            </w:r>
          </w:p>
        </w:tc>
        <w:tc>
          <w:tcPr>
            <w:tcW w:w="825" w:type="pct"/>
            <w:vAlign w:val="center"/>
          </w:tcPr>
          <w:p>
            <w:pPr>
              <w:pStyle w:val="54"/>
            </w:pPr>
            <w:r>
              <w:rPr>
                <w:rFonts w:hint="eastAsia"/>
              </w:rPr>
              <w:t>下沉式再生水厂</w:t>
            </w:r>
          </w:p>
        </w:tc>
        <w:tc>
          <w:tcPr>
            <w:tcW w:w="1810" w:type="pct"/>
            <w:vAlign w:val="center"/>
          </w:tcPr>
          <w:p>
            <w:pPr>
              <w:pStyle w:val="54"/>
            </w:pPr>
            <w:r>
              <w:rPr>
                <w:rFonts w:hint="eastAsia"/>
              </w:rPr>
              <w:t>庄桥街道邵余村、苏冯村，总用地面积约</w:t>
            </w:r>
            <w:r>
              <w:t>189</w:t>
            </w:r>
            <w:r>
              <w:rPr>
                <w:rFonts w:hint="eastAsia"/>
              </w:rPr>
              <w:t>亩，建设规模</w:t>
            </w:r>
            <w:r>
              <w:t>10</w:t>
            </w:r>
            <w:r>
              <w:rPr>
                <w:rFonts w:hint="eastAsia"/>
              </w:rPr>
              <w:t>万吨</w:t>
            </w:r>
            <w:r>
              <w:t>/</w:t>
            </w:r>
            <w:r>
              <w:rPr>
                <w:rFonts w:hint="eastAsia"/>
              </w:rPr>
              <w:t>日</w:t>
            </w:r>
          </w:p>
        </w:tc>
        <w:tc>
          <w:tcPr>
            <w:tcW w:w="548" w:type="pct"/>
            <w:vAlign w:val="center"/>
          </w:tcPr>
          <w:p>
            <w:pPr>
              <w:pStyle w:val="54"/>
            </w:pPr>
            <w:r>
              <w:t>2020-2023</w:t>
            </w:r>
          </w:p>
        </w:tc>
        <w:tc>
          <w:tcPr>
            <w:tcW w:w="502" w:type="pct"/>
            <w:vAlign w:val="center"/>
          </w:tcPr>
          <w:p>
            <w:pPr>
              <w:pStyle w:val="54"/>
            </w:pPr>
            <w:r>
              <w:t>100000</w:t>
            </w:r>
          </w:p>
        </w:tc>
        <w:tc>
          <w:tcPr>
            <w:tcW w:w="931" w:type="pct"/>
            <w:vAlign w:val="center"/>
          </w:tcPr>
          <w:p>
            <w:pPr>
              <w:pStyle w:val="54"/>
            </w:pPr>
            <w:r>
              <w:rPr>
                <w:rFonts w:hint="eastAsia"/>
              </w:rPr>
              <w:t>区综合行政执法局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207" w:type="pct"/>
            <w:vMerge w:val="continue"/>
            <w:vAlign w:val="center"/>
          </w:tcPr>
          <w:p>
            <w:pPr>
              <w:pStyle w:val="54"/>
            </w:pPr>
          </w:p>
        </w:tc>
        <w:tc>
          <w:tcPr>
            <w:tcW w:w="177" w:type="pct"/>
            <w:vAlign w:val="center"/>
          </w:tcPr>
          <w:p>
            <w:pPr>
              <w:pStyle w:val="54"/>
            </w:pPr>
            <w:r>
              <w:t>36</w:t>
            </w:r>
          </w:p>
        </w:tc>
        <w:tc>
          <w:tcPr>
            <w:tcW w:w="825" w:type="pct"/>
            <w:vAlign w:val="center"/>
          </w:tcPr>
          <w:p>
            <w:pPr>
              <w:pStyle w:val="54"/>
            </w:pPr>
            <w:r>
              <w:rPr>
                <w:rFonts w:hint="eastAsia"/>
              </w:rPr>
              <w:t>江北区污水管道建设</w:t>
            </w:r>
          </w:p>
        </w:tc>
        <w:tc>
          <w:tcPr>
            <w:tcW w:w="1810" w:type="pct"/>
            <w:vAlign w:val="center"/>
          </w:tcPr>
          <w:p>
            <w:pPr>
              <w:pStyle w:val="54"/>
            </w:pPr>
            <w:r>
              <w:rPr>
                <w:rFonts w:hint="eastAsia"/>
              </w:rPr>
              <w:t>新建康庄南路（永茂西路</w:t>
            </w:r>
            <w:r>
              <w:t>-</w:t>
            </w:r>
            <w:r>
              <w:rPr>
                <w:rFonts w:hint="eastAsia"/>
              </w:rPr>
              <w:t>北环西路）、永茂西路（机场路</w:t>
            </w:r>
            <w:r>
              <w:t>-</w:t>
            </w:r>
            <w:r>
              <w:rPr>
                <w:rFonts w:hint="eastAsia"/>
              </w:rPr>
              <w:t>康庄路）、江北下沉式再生水厂周边配套管道等污水管道，谋划江北大道污水管道及袁陈污水提升泵站（机场路</w:t>
            </w:r>
            <w:r>
              <w:t>-</w:t>
            </w:r>
            <w:r>
              <w:rPr>
                <w:rFonts w:hint="eastAsia"/>
              </w:rPr>
              <w:t>北环西路）、北环西路二期污水管道（慈孝大道—机场路）等污水管道</w:t>
            </w:r>
          </w:p>
        </w:tc>
        <w:tc>
          <w:tcPr>
            <w:tcW w:w="548" w:type="pct"/>
            <w:vAlign w:val="center"/>
          </w:tcPr>
          <w:p>
            <w:pPr>
              <w:pStyle w:val="54"/>
            </w:pPr>
            <w:r>
              <w:t>2021-2025</w:t>
            </w:r>
          </w:p>
        </w:tc>
        <w:tc>
          <w:tcPr>
            <w:tcW w:w="502" w:type="pct"/>
            <w:vAlign w:val="center"/>
          </w:tcPr>
          <w:p>
            <w:pPr>
              <w:pStyle w:val="54"/>
            </w:pPr>
            <w:r>
              <w:t>5728</w:t>
            </w:r>
          </w:p>
        </w:tc>
        <w:tc>
          <w:tcPr>
            <w:tcW w:w="931" w:type="pct"/>
            <w:vAlign w:val="center"/>
          </w:tcPr>
          <w:p>
            <w:pPr>
              <w:pStyle w:val="54"/>
            </w:pPr>
            <w:r>
              <w:rPr>
                <w:rFonts w:hint="eastAsia"/>
              </w:rPr>
              <w:t>区住建局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207" w:type="pct"/>
            <w:vMerge w:val="continue"/>
            <w:vAlign w:val="center"/>
          </w:tcPr>
          <w:p>
            <w:pPr>
              <w:pStyle w:val="54"/>
            </w:pPr>
          </w:p>
        </w:tc>
        <w:tc>
          <w:tcPr>
            <w:tcW w:w="177" w:type="pct"/>
            <w:vAlign w:val="center"/>
          </w:tcPr>
          <w:p>
            <w:pPr>
              <w:pStyle w:val="54"/>
            </w:pPr>
            <w:r>
              <w:t>37</w:t>
            </w:r>
          </w:p>
        </w:tc>
        <w:tc>
          <w:tcPr>
            <w:tcW w:w="825" w:type="pct"/>
            <w:vAlign w:val="center"/>
          </w:tcPr>
          <w:p>
            <w:pPr>
              <w:pStyle w:val="54"/>
            </w:pPr>
            <w:r>
              <w:rPr>
                <w:rFonts w:hint="eastAsia"/>
              </w:rPr>
              <w:t>排水管网检测修复</w:t>
            </w:r>
          </w:p>
        </w:tc>
        <w:tc>
          <w:tcPr>
            <w:tcW w:w="1810" w:type="pct"/>
            <w:vAlign w:val="center"/>
          </w:tcPr>
          <w:p>
            <w:pPr>
              <w:pStyle w:val="54"/>
            </w:pPr>
            <w:r>
              <w:rPr>
                <w:rFonts w:hint="eastAsia"/>
              </w:rPr>
              <w:t>继续实施环城北路以南未修复病害的闭环，同步实施北外环以南排水管网的清淤、检测、修复。开展北外环以北市政管网检测、清淤、修复。</w:t>
            </w:r>
          </w:p>
        </w:tc>
        <w:tc>
          <w:tcPr>
            <w:tcW w:w="548" w:type="pct"/>
            <w:vAlign w:val="center"/>
          </w:tcPr>
          <w:p>
            <w:pPr>
              <w:pStyle w:val="54"/>
            </w:pPr>
            <w:r>
              <w:t>2021-2023</w:t>
            </w:r>
          </w:p>
        </w:tc>
        <w:tc>
          <w:tcPr>
            <w:tcW w:w="502" w:type="pct"/>
            <w:vAlign w:val="center"/>
          </w:tcPr>
          <w:p>
            <w:pPr>
              <w:pStyle w:val="54"/>
            </w:pPr>
            <w:r>
              <w:t>17211</w:t>
            </w:r>
          </w:p>
        </w:tc>
        <w:tc>
          <w:tcPr>
            <w:tcW w:w="931" w:type="pct"/>
            <w:vAlign w:val="center"/>
          </w:tcPr>
          <w:p>
            <w:pPr>
              <w:pStyle w:val="54"/>
            </w:pPr>
            <w:r>
              <w:rPr>
                <w:rFonts w:hint="eastAsia"/>
              </w:rPr>
              <w:t>区综合行政执法局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207" w:type="pct"/>
            <w:vMerge w:val="continue"/>
            <w:vAlign w:val="center"/>
          </w:tcPr>
          <w:p>
            <w:pPr>
              <w:pStyle w:val="54"/>
            </w:pPr>
          </w:p>
        </w:tc>
        <w:tc>
          <w:tcPr>
            <w:tcW w:w="177" w:type="pct"/>
            <w:vAlign w:val="center"/>
          </w:tcPr>
          <w:p>
            <w:pPr>
              <w:pStyle w:val="54"/>
            </w:pPr>
            <w:r>
              <w:rPr>
                <w:rFonts w:hint="eastAsia"/>
              </w:rPr>
              <w:t>3</w:t>
            </w:r>
            <w:r>
              <w:t>8</w:t>
            </w:r>
          </w:p>
        </w:tc>
        <w:tc>
          <w:tcPr>
            <w:tcW w:w="825" w:type="pct"/>
            <w:vAlign w:val="center"/>
          </w:tcPr>
          <w:p>
            <w:pPr>
              <w:pStyle w:val="54"/>
            </w:pPr>
            <w:r>
              <w:rPr>
                <w:rFonts w:hint="eastAsia"/>
              </w:rPr>
              <w:t>“小散乱”排水整治项目</w:t>
            </w:r>
          </w:p>
        </w:tc>
        <w:tc>
          <w:tcPr>
            <w:tcW w:w="1810" w:type="pct"/>
            <w:vAlign w:val="center"/>
          </w:tcPr>
          <w:p>
            <w:pPr>
              <w:pStyle w:val="54"/>
            </w:pPr>
            <w:r>
              <w:rPr>
                <w:rFonts w:hint="eastAsia"/>
              </w:rPr>
              <w:t>北海南路、宝庆路、李家西路、丽江路、天沁路等沿街店铺雨污分流改造，建议重点考虑天水和洋市河片区“小散乱”排水整治</w:t>
            </w:r>
          </w:p>
        </w:tc>
        <w:tc>
          <w:tcPr>
            <w:tcW w:w="548" w:type="pct"/>
            <w:vAlign w:val="center"/>
          </w:tcPr>
          <w:p>
            <w:pPr>
              <w:pStyle w:val="54"/>
            </w:pPr>
            <w:r>
              <w:rPr>
                <w:rFonts w:hint="eastAsia"/>
              </w:rPr>
              <w:t>2</w:t>
            </w:r>
            <w:r>
              <w:t>021</w:t>
            </w:r>
            <w:r>
              <w:rPr>
                <w:rFonts w:hint="eastAsia"/>
              </w:rPr>
              <w:t>-</w:t>
            </w:r>
            <w:r>
              <w:t>2023</w:t>
            </w:r>
          </w:p>
        </w:tc>
        <w:tc>
          <w:tcPr>
            <w:tcW w:w="502" w:type="pct"/>
            <w:vAlign w:val="center"/>
          </w:tcPr>
          <w:p>
            <w:pPr>
              <w:pStyle w:val="54"/>
            </w:pPr>
            <w:r>
              <w:rPr>
                <w:rFonts w:hint="eastAsia"/>
              </w:rPr>
              <w:t>3</w:t>
            </w:r>
            <w:r>
              <w:t>000</w:t>
            </w:r>
          </w:p>
        </w:tc>
        <w:tc>
          <w:tcPr>
            <w:tcW w:w="931" w:type="pct"/>
            <w:vAlign w:val="center"/>
          </w:tcPr>
          <w:p>
            <w:pPr>
              <w:pStyle w:val="54"/>
            </w:pPr>
            <w:r>
              <w:rPr>
                <w:rFonts w:hint="eastAsia"/>
              </w:rPr>
              <w:t>区综合行政执法局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6" w:hRule="atLeast"/>
          <w:jc w:val="center"/>
        </w:trPr>
        <w:tc>
          <w:tcPr>
            <w:tcW w:w="207" w:type="pct"/>
            <w:vMerge w:val="continue"/>
            <w:vAlign w:val="center"/>
          </w:tcPr>
          <w:p>
            <w:pPr>
              <w:pStyle w:val="54"/>
            </w:pPr>
          </w:p>
        </w:tc>
        <w:tc>
          <w:tcPr>
            <w:tcW w:w="177" w:type="pct"/>
            <w:vAlign w:val="center"/>
          </w:tcPr>
          <w:p>
            <w:pPr>
              <w:pStyle w:val="54"/>
            </w:pPr>
            <w:r>
              <w:t>39</w:t>
            </w:r>
          </w:p>
        </w:tc>
        <w:tc>
          <w:tcPr>
            <w:tcW w:w="825" w:type="pct"/>
            <w:vAlign w:val="center"/>
          </w:tcPr>
          <w:p>
            <w:pPr>
              <w:pStyle w:val="54"/>
            </w:pPr>
            <w:r>
              <w:rPr>
                <w:rFonts w:hint="eastAsia"/>
              </w:rPr>
              <w:t>姚江新区综合管廊一期工程（广元大道）</w:t>
            </w:r>
          </w:p>
        </w:tc>
        <w:tc>
          <w:tcPr>
            <w:tcW w:w="1810" w:type="pct"/>
            <w:vAlign w:val="center"/>
          </w:tcPr>
          <w:p>
            <w:pPr>
              <w:pStyle w:val="54"/>
            </w:pPr>
            <w:r>
              <w:t>姚江新区综合管廊一期工程由广元大道</w:t>
            </w:r>
            <w:r>
              <w:rPr>
                <w:rFonts w:hint="eastAsia"/>
              </w:rPr>
              <w:t>、</w:t>
            </w:r>
            <w:r>
              <w:t>邵渡路</w:t>
            </w:r>
            <w:r>
              <w:rPr>
                <w:rFonts w:hint="eastAsia"/>
              </w:rPr>
              <w:t>、</w:t>
            </w:r>
            <w:r>
              <w:t>云飞路三条综合管廊组成</w:t>
            </w:r>
            <w:r>
              <w:rPr>
                <w:rFonts w:hint="eastAsia"/>
              </w:rPr>
              <w:t>，</w:t>
            </w:r>
            <w:r>
              <w:t>总厂约</w:t>
            </w:r>
            <w:r>
              <w:rPr>
                <w:rFonts w:hint="eastAsia"/>
              </w:rPr>
              <w:t>1</w:t>
            </w:r>
            <w:r>
              <w:t>4公里</w:t>
            </w:r>
            <w:r>
              <w:rPr>
                <w:rFonts w:hint="eastAsia"/>
              </w:rPr>
              <w:t>。</w:t>
            </w:r>
            <w:r>
              <w:t>广元大道综合管廊与西洪大桥及连接工程</w:t>
            </w:r>
            <w:r>
              <w:rPr>
                <w:rFonts w:hint="eastAsia"/>
              </w:rPr>
              <w:t>（南起通途路，北至北环西路）先行同步实施，长约4</w:t>
            </w:r>
            <w:r>
              <w:t>.7公里</w:t>
            </w:r>
            <w:r>
              <w:rPr>
                <w:rFonts w:hint="eastAsia"/>
              </w:rPr>
              <w:t>。</w:t>
            </w:r>
            <w:r>
              <w:t>建设内容包括综合管廊主体</w:t>
            </w:r>
            <w:r>
              <w:rPr>
                <w:rFonts w:hint="eastAsia"/>
              </w:rPr>
              <w:t>、</w:t>
            </w:r>
            <w:r>
              <w:t>预留接口</w:t>
            </w:r>
            <w:r>
              <w:rPr>
                <w:rFonts w:hint="eastAsia"/>
              </w:rPr>
              <w:t>、</w:t>
            </w:r>
            <w:r>
              <w:t>管线支架</w:t>
            </w:r>
            <w:r>
              <w:rPr>
                <w:rFonts w:hint="eastAsia"/>
              </w:rPr>
              <w:t>、</w:t>
            </w:r>
            <w:r>
              <w:t>消防</w:t>
            </w:r>
            <w:r>
              <w:rPr>
                <w:rFonts w:hint="eastAsia"/>
              </w:rPr>
              <w:t>、</w:t>
            </w:r>
            <w:r>
              <w:t>监控等附属设施</w:t>
            </w:r>
          </w:p>
        </w:tc>
        <w:tc>
          <w:tcPr>
            <w:tcW w:w="548" w:type="pct"/>
            <w:vAlign w:val="center"/>
          </w:tcPr>
          <w:p>
            <w:pPr>
              <w:pStyle w:val="54"/>
            </w:pPr>
            <w:r>
              <w:t>2021</w:t>
            </w:r>
          </w:p>
        </w:tc>
        <w:tc>
          <w:tcPr>
            <w:tcW w:w="502" w:type="pct"/>
            <w:vAlign w:val="center"/>
          </w:tcPr>
          <w:p>
            <w:pPr>
              <w:pStyle w:val="54"/>
            </w:pPr>
            <w:r>
              <w:t>47000</w:t>
            </w:r>
          </w:p>
        </w:tc>
        <w:tc>
          <w:tcPr>
            <w:tcW w:w="931" w:type="pct"/>
            <w:vAlign w:val="center"/>
          </w:tcPr>
          <w:p>
            <w:pPr>
              <w:pStyle w:val="54"/>
            </w:pPr>
            <w:r>
              <w:rPr>
                <w:rFonts w:hint="eastAsia"/>
              </w:rPr>
              <w:t>区住建局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07" w:type="pct"/>
            <w:vMerge w:val="continue"/>
            <w:vAlign w:val="center"/>
          </w:tcPr>
          <w:p>
            <w:pPr>
              <w:pStyle w:val="54"/>
            </w:pPr>
          </w:p>
        </w:tc>
        <w:tc>
          <w:tcPr>
            <w:tcW w:w="177" w:type="pct"/>
            <w:vAlign w:val="center"/>
          </w:tcPr>
          <w:p>
            <w:pPr>
              <w:pStyle w:val="54"/>
            </w:pPr>
            <w:r>
              <w:t>40</w:t>
            </w:r>
          </w:p>
        </w:tc>
        <w:tc>
          <w:tcPr>
            <w:tcW w:w="825" w:type="pct"/>
            <w:vAlign w:val="center"/>
          </w:tcPr>
          <w:p>
            <w:pPr>
              <w:pStyle w:val="54"/>
            </w:pPr>
            <w:r>
              <w:rPr>
                <w:rFonts w:hint="eastAsia"/>
              </w:rPr>
              <w:t>江北区慢行系统建设</w:t>
            </w:r>
          </w:p>
        </w:tc>
        <w:tc>
          <w:tcPr>
            <w:tcW w:w="1810" w:type="pct"/>
            <w:vAlign w:val="center"/>
          </w:tcPr>
          <w:p>
            <w:pPr>
              <w:pStyle w:val="54"/>
            </w:pPr>
            <w:r>
              <w:rPr>
                <w:rFonts w:hint="eastAsia"/>
              </w:rPr>
              <w:t>续建姚江南岸滨江休闲带、姚江新区启动段滨江景观工程等绿化景观，新建沿江堤防绿带工程、湾头岛头滨江景观工程（湾头路</w:t>
            </w:r>
            <w:r>
              <w:t>-</w:t>
            </w:r>
            <w:r>
              <w:rPr>
                <w:rFonts w:hint="eastAsia"/>
              </w:rPr>
              <w:t>生态公园以东）等绿化景观，谋划下白沙路以南沿江堤防绿带工程、洪大路东侧绿带（洪发路</w:t>
            </w:r>
            <w:r>
              <w:t>-</w:t>
            </w:r>
            <w:r>
              <w:rPr>
                <w:rFonts w:hint="eastAsia"/>
              </w:rPr>
              <w:t>丽江西路）等绿化景观，新建李碶渡公园、义山公园等公园绿地，狮子山公园、洋市公园建设、荪湖中心湖景观提升工程。</w:t>
            </w:r>
          </w:p>
        </w:tc>
        <w:tc>
          <w:tcPr>
            <w:tcW w:w="548" w:type="pct"/>
            <w:vAlign w:val="center"/>
          </w:tcPr>
          <w:p>
            <w:pPr>
              <w:pStyle w:val="54"/>
            </w:pPr>
            <w:r>
              <w:t>2020-2025</w:t>
            </w:r>
          </w:p>
        </w:tc>
        <w:tc>
          <w:tcPr>
            <w:tcW w:w="502" w:type="pct"/>
            <w:vAlign w:val="center"/>
          </w:tcPr>
          <w:p>
            <w:pPr>
              <w:pStyle w:val="54"/>
            </w:pPr>
            <w:r>
              <w:t>284385</w:t>
            </w:r>
          </w:p>
        </w:tc>
        <w:tc>
          <w:tcPr>
            <w:tcW w:w="931" w:type="pct"/>
            <w:vAlign w:val="center"/>
          </w:tcPr>
          <w:p>
            <w:pPr>
              <w:pStyle w:val="54"/>
            </w:pPr>
            <w:r>
              <w:rPr>
                <w:rFonts w:hint="eastAsia"/>
              </w:rPr>
              <w:t>区住建局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07" w:type="pct"/>
            <w:vMerge w:val="continue"/>
            <w:vAlign w:val="center"/>
          </w:tcPr>
          <w:p>
            <w:pPr>
              <w:pStyle w:val="54"/>
            </w:pPr>
          </w:p>
        </w:tc>
        <w:tc>
          <w:tcPr>
            <w:tcW w:w="177" w:type="pct"/>
            <w:vAlign w:val="center"/>
          </w:tcPr>
          <w:p>
            <w:pPr>
              <w:pStyle w:val="54"/>
            </w:pPr>
            <w:r>
              <w:t>41</w:t>
            </w:r>
          </w:p>
        </w:tc>
        <w:tc>
          <w:tcPr>
            <w:tcW w:w="825" w:type="pct"/>
            <w:vAlign w:val="center"/>
          </w:tcPr>
          <w:p>
            <w:pPr>
              <w:pStyle w:val="54"/>
            </w:pPr>
            <w:r>
              <w:rPr>
                <w:rFonts w:hint="eastAsia"/>
              </w:rPr>
              <w:t>江北区公交场站建设</w:t>
            </w:r>
          </w:p>
        </w:tc>
        <w:tc>
          <w:tcPr>
            <w:tcW w:w="1810" w:type="pct"/>
            <w:vAlign w:val="center"/>
          </w:tcPr>
          <w:p>
            <w:pPr>
              <w:pStyle w:val="54"/>
            </w:pPr>
            <w:r>
              <w:rPr>
                <w:rFonts w:hint="eastAsia"/>
              </w:rPr>
              <w:t>续建洪塘中路站，新建奥体中心站、金山路站、官山河站等</w:t>
            </w:r>
            <w:r>
              <w:t>4</w:t>
            </w:r>
            <w:r>
              <w:rPr>
                <w:rFonts w:hint="eastAsia"/>
              </w:rPr>
              <w:t>个公交场站，谋划三官堂站、湖心别院东侧、慈城西站</w:t>
            </w:r>
            <w:r>
              <w:t>3</w:t>
            </w:r>
            <w:r>
              <w:rPr>
                <w:rFonts w:hint="eastAsia"/>
              </w:rPr>
              <w:t>个公交场站。</w:t>
            </w:r>
          </w:p>
        </w:tc>
        <w:tc>
          <w:tcPr>
            <w:tcW w:w="548" w:type="pct"/>
            <w:vAlign w:val="center"/>
          </w:tcPr>
          <w:p>
            <w:pPr>
              <w:pStyle w:val="54"/>
            </w:pPr>
            <w:r>
              <w:t>2020-2025</w:t>
            </w:r>
          </w:p>
        </w:tc>
        <w:tc>
          <w:tcPr>
            <w:tcW w:w="502" w:type="pct"/>
            <w:vAlign w:val="center"/>
          </w:tcPr>
          <w:p>
            <w:pPr>
              <w:pStyle w:val="54"/>
            </w:pPr>
            <w:r>
              <w:t>23314</w:t>
            </w:r>
          </w:p>
        </w:tc>
        <w:tc>
          <w:tcPr>
            <w:tcW w:w="931" w:type="pct"/>
            <w:vAlign w:val="center"/>
          </w:tcPr>
          <w:p>
            <w:pPr>
              <w:pStyle w:val="54"/>
            </w:pPr>
            <w:r>
              <w:rPr>
                <w:rFonts w:hint="eastAsia"/>
              </w:rPr>
              <w:t>区住建局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07" w:type="pct"/>
            <w:vMerge w:val="continue"/>
            <w:vAlign w:val="center"/>
          </w:tcPr>
          <w:p>
            <w:pPr>
              <w:pStyle w:val="54"/>
            </w:pPr>
          </w:p>
        </w:tc>
        <w:tc>
          <w:tcPr>
            <w:tcW w:w="177" w:type="pct"/>
            <w:vAlign w:val="center"/>
          </w:tcPr>
          <w:p>
            <w:pPr>
              <w:pStyle w:val="54"/>
            </w:pPr>
            <w:r>
              <w:t>42</w:t>
            </w:r>
          </w:p>
        </w:tc>
        <w:tc>
          <w:tcPr>
            <w:tcW w:w="825" w:type="pct"/>
            <w:vAlign w:val="center"/>
          </w:tcPr>
          <w:p>
            <w:pPr>
              <w:pStyle w:val="54"/>
            </w:pPr>
            <w:r>
              <w:rPr>
                <w:rFonts w:hint="eastAsia"/>
              </w:rPr>
              <w:t>农污提标改造及纳管项目</w:t>
            </w:r>
          </w:p>
        </w:tc>
        <w:tc>
          <w:tcPr>
            <w:tcW w:w="1810" w:type="pct"/>
            <w:vAlign w:val="center"/>
          </w:tcPr>
          <w:p>
            <w:pPr>
              <w:pStyle w:val="54"/>
            </w:pPr>
            <w:r>
              <w:rPr>
                <w:rFonts w:hint="eastAsia"/>
              </w:rPr>
              <w:t>湖心村、畈里塘村、费市村、观庄村等农村生活污水终端纳管，其余农村生活污水终端开展提标改造。2021年畈里塘、周陈、上沈、湖心，2022年费市、胡家、白米湾，2023年塘民、观庄。</w:t>
            </w:r>
          </w:p>
        </w:tc>
        <w:tc>
          <w:tcPr>
            <w:tcW w:w="548" w:type="pct"/>
            <w:vAlign w:val="center"/>
          </w:tcPr>
          <w:p>
            <w:pPr>
              <w:pStyle w:val="54"/>
            </w:pPr>
            <w:r>
              <w:rPr>
                <w:rFonts w:hint="eastAsia"/>
              </w:rPr>
              <w:t>2021-2025</w:t>
            </w:r>
          </w:p>
        </w:tc>
        <w:tc>
          <w:tcPr>
            <w:tcW w:w="502" w:type="pct"/>
            <w:vAlign w:val="center"/>
          </w:tcPr>
          <w:p>
            <w:pPr>
              <w:pStyle w:val="54"/>
            </w:pPr>
            <w:r>
              <w:rPr>
                <w:rFonts w:hint="eastAsia"/>
              </w:rPr>
              <w:t>5193</w:t>
            </w:r>
          </w:p>
        </w:tc>
        <w:tc>
          <w:tcPr>
            <w:tcW w:w="931" w:type="pct"/>
            <w:vAlign w:val="center"/>
          </w:tcPr>
          <w:p>
            <w:pPr>
              <w:pStyle w:val="54"/>
            </w:pPr>
            <w:r>
              <w:rPr>
                <w:rFonts w:hint="eastAsia"/>
              </w:rPr>
              <w:t>区综合行政执法局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07" w:type="pct"/>
            <w:vMerge w:val="continue"/>
            <w:vAlign w:val="center"/>
          </w:tcPr>
          <w:p>
            <w:pPr>
              <w:pStyle w:val="54"/>
            </w:pPr>
          </w:p>
        </w:tc>
        <w:tc>
          <w:tcPr>
            <w:tcW w:w="177" w:type="pct"/>
            <w:vAlign w:val="center"/>
          </w:tcPr>
          <w:p>
            <w:pPr>
              <w:pStyle w:val="54"/>
            </w:pPr>
            <w:r>
              <w:t>43</w:t>
            </w:r>
          </w:p>
        </w:tc>
        <w:tc>
          <w:tcPr>
            <w:tcW w:w="825" w:type="pct"/>
            <w:vAlign w:val="center"/>
          </w:tcPr>
          <w:p>
            <w:pPr>
              <w:pStyle w:val="54"/>
            </w:pPr>
            <w:r>
              <w:rPr>
                <w:rFonts w:hint="eastAsia"/>
              </w:rPr>
              <w:t>新时代美丽乡村建设</w:t>
            </w:r>
          </w:p>
        </w:tc>
        <w:tc>
          <w:tcPr>
            <w:tcW w:w="1810" w:type="pct"/>
            <w:vAlign w:val="center"/>
          </w:tcPr>
          <w:p>
            <w:pPr>
              <w:pStyle w:val="54"/>
            </w:pPr>
            <w:r>
              <w:rPr>
                <w:rFonts w:hint="eastAsia"/>
              </w:rPr>
              <w:t>90%行政村创建成浙江省新时代美丽乡村，三分之一以上行政村创建成浙江省新时代美丽乡村精品村。打造有规模、高水平、综合性、多功能，在全省乃至全国有一定知名度影响力的城郊美丽乡村综合体。</w:t>
            </w:r>
          </w:p>
        </w:tc>
        <w:tc>
          <w:tcPr>
            <w:tcW w:w="548" w:type="pct"/>
            <w:vAlign w:val="center"/>
          </w:tcPr>
          <w:p>
            <w:pPr>
              <w:pStyle w:val="54"/>
            </w:pPr>
            <w:r>
              <w:rPr>
                <w:rFonts w:hint="eastAsia"/>
              </w:rPr>
              <w:t>2020-2025</w:t>
            </w:r>
          </w:p>
        </w:tc>
        <w:tc>
          <w:tcPr>
            <w:tcW w:w="502" w:type="pct"/>
            <w:vAlign w:val="center"/>
          </w:tcPr>
          <w:p>
            <w:pPr>
              <w:pStyle w:val="54"/>
            </w:pPr>
            <w:r>
              <w:rPr>
                <w:rFonts w:hint="eastAsia"/>
              </w:rPr>
              <w:t>20000</w:t>
            </w:r>
          </w:p>
        </w:tc>
        <w:tc>
          <w:tcPr>
            <w:tcW w:w="931" w:type="pct"/>
            <w:vAlign w:val="center"/>
          </w:tcPr>
          <w:p>
            <w:pPr>
              <w:pStyle w:val="54"/>
            </w:pPr>
            <w:r>
              <w:rPr>
                <w:rFonts w:hint="eastAsia"/>
              </w:rPr>
              <w:t>区农业农村局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07" w:type="pct"/>
            <w:vMerge w:val="continue"/>
            <w:vAlign w:val="center"/>
          </w:tcPr>
          <w:p>
            <w:pPr>
              <w:pStyle w:val="54"/>
            </w:pPr>
          </w:p>
        </w:tc>
        <w:tc>
          <w:tcPr>
            <w:tcW w:w="177" w:type="pct"/>
            <w:vAlign w:val="center"/>
          </w:tcPr>
          <w:p>
            <w:pPr>
              <w:pStyle w:val="54"/>
            </w:pPr>
            <w:r>
              <w:t>44</w:t>
            </w:r>
          </w:p>
        </w:tc>
        <w:tc>
          <w:tcPr>
            <w:tcW w:w="825" w:type="pct"/>
            <w:vAlign w:val="center"/>
          </w:tcPr>
          <w:p>
            <w:pPr>
              <w:pStyle w:val="54"/>
            </w:pPr>
            <w:r>
              <w:rPr>
                <w:rFonts w:hint="eastAsia"/>
              </w:rPr>
              <w:t>“四好”农村路建设</w:t>
            </w:r>
          </w:p>
        </w:tc>
        <w:tc>
          <w:tcPr>
            <w:tcW w:w="1810" w:type="pct"/>
            <w:vAlign w:val="center"/>
          </w:tcPr>
          <w:p>
            <w:pPr>
              <w:pStyle w:val="54"/>
            </w:pPr>
            <w:r>
              <w:rPr>
                <w:rFonts w:hint="eastAsia"/>
              </w:rPr>
              <w:t>新建提升公有-南联（二期）、阮夹岙-郭塘岙、妙金线-五星等村道、乡道，改善工程鞍周线（周陈段）等低等级公路，新建胡家一保国寺旅游公路等通乡镇、景区公路；谋划新建改建毛岙一五湖、老旅游公路-王家等村道，妙金线、骆观线等通乡镇、景区公路</w:t>
            </w:r>
          </w:p>
        </w:tc>
        <w:tc>
          <w:tcPr>
            <w:tcW w:w="548" w:type="pct"/>
            <w:vAlign w:val="center"/>
          </w:tcPr>
          <w:p>
            <w:pPr>
              <w:pStyle w:val="54"/>
            </w:pPr>
            <w:r>
              <w:rPr>
                <w:rFonts w:hint="eastAsia"/>
              </w:rPr>
              <w:t>2021-2035</w:t>
            </w:r>
          </w:p>
        </w:tc>
        <w:tc>
          <w:tcPr>
            <w:tcW w:w="502" w:type="pct"/>
            <w:vAlign w:val="center"/>
          </w:tcPr>
          <w:p>
            <w:pPr>
              <w:pStyle w:val="54"/>
            </w:pPr>
            <w:r>
              <w:rPr>
                <w:rFonts w:hint="eastAsia"/>
              </w:rPr>
              <w:t>38721</w:t>
            </w:r>
          </w:p>
        </w:tc>
        <w:tc>
          <w:tcPr>
            <w:tcW w:w="931" w:type="pct"/>
            <w:vAlign w:val="center"/>
          </w:tcPr>
          <w:p>
            <w:pPr>
              <w:pStyle w:val="54"/>
            </w:pPr>
            <w:r>
              <w:rPr>
                <w:rFonts w:hint="eastAsia"/>
              </w:rPr>
              <w:t>区交通运输局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207" w:type="pct"/>
            <w:vMerge w:val="restart"/>
            <w:vAlign w:val="center"/>
          </w:tcPr>
          <w:p>
            <w:pPr>
              <w:pStyle w:val="54"/>
            </w:pPr>
            <w:r>
              <w:t>生态文化体系</w:t>
            </w:r>
          </w:p>
        </w:tc>
        <w:tc>
          <w:tcPr>
            <w:tcW w:w="177" w:type="pct"/>
            <w:vAlign w:val="center"/>
          </w:tcPr>
          <w:p>
            <w:pPr>
              <w:pStyle w:val="54"/>
            </w:pPr>
            <w:r>
              <w:t>45</w:t>
            </w:r>
          </w:p>
        </w:tc>
        <w:tc>
          <w:tcPr>
            <w:tcW w:w="825" w:type="pct"/>
            <w:vAlign w:val="center"/>
          </w:tcPr>
          <w:p>
            <w:pPr>
              <w:pStyle w:val="54"/>
            </w:pPr>
            <w:r>
              <w:rPr>
                <w:rFonts w:hint="eastAsia"/>
              </w:rPr>
              <w:t>文化基因解码工程</w:t>
            </w:r>
          </w:p>
        </w:tc>
        <w:tc>
          <w:tcPr>
            <w:tcW w:w="1810" w:type="pct"/>
            <w:vAlign w:val="center"/>
          </w:tcPr>
          <w:p>
            <w:pPr>
              <w:pStyle w:val="54"/>
            </w:pPr>
            <w:r>
              <w:rPr>
                <w:rFonts w:hint="eastAsia"/>
              </w:rPr>
              <w:t>对区域文化元素进行摸底调查，梳理文化元素清单文化元素开展基因解码。追溯文化的发展历程，以古籍记载、考古发现、文物等为依据，按物质要素、精神要素、语言和象征符号要素、规范要素，从中筛选出最为关键“知识（技术）点”实现解码，并加以记录、存证，形成文化基因数据库。</w:t>
            </w:r>
          </w:p>
        </w:tc>
        <w:tc>
          <w:tcPr>
            <w:tcW w:w="548" w:type="pct"/>
            <w:vAlign w:val="center"/>
          </w:tcPr>
          <w:p>
            <w:pPr>
              <w:pStyle w:val="54"/>
            </w:pPr>
            <w:r>
              <w:t>2020</w:t>
            </w:r>
            <w:r>
              <w:rPr>
                <w:rFonts w:hint="eastAsia"/>
              </w:rPr>
              <w:t>-2022</w:t>
            </w:r>
          </w:p>
        </w:tc>
        <w:tc>
          <w:tcPr>
            <w:tcW w:w="502" w:type="pct"/>
            <w:vAlign w:val="center"/>
          </w:tcPr>
          <w:p>
            <w:pPr>
              <w:pStyle w:val="54"/>
            </w:pPr>
            <w:r>
              <w:rPr>
                <w:rFonts w:hint="eastAsia"/>
              </w:rPr>
              <w:t>/</w:t>
            </w:r>
          </w:p>
        </w:tc>
        <w:tc>
          <w:tcPr>
            <w:tcW w:w="931" w:type="pct"/>
            <w:vAlign w:val="center"/>
          </w:tcPr>
          <w:p>
            <w:pPr>
              <w:pStyle w:val="54"/>
            </w:pPr>
            <w:r>
              <w:rPr>
                <w:rFonts w:hint="eastAsia"/>
              </w:rPr>
              <w:t>区文化广电旅游局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207" w:type="pct"/>
            <w:vMerge w:val="continue"/>
            <w:vAlign w:val="center"/>
          </w:tcPr>
          <w:p>
            <w:pPr>
              <w:pStyle w:val="54"/>
            </w:pPr>
          </w:p>
        </w:tc>
        <w:tc>
          <w:tcPr>
            <w:tcW w:w="177" w:type="pct"/>
            <w:vAlign w:val="center"/>
          </w:tcPr>
          <w:p>
            <w:pPr>
              <w:pStyle w:val="54"/>
            </w:pPr>
            <w:r>
              <w:t>46</w:t>
            </w:r>
          </w:p>
        </w:tc>
        <w:tc>
          <w:tcPr>
            <w:tcW w:w="825" w:type="pct"/>
            <w:vAlign w:val="center"/>
          </w:tcPr>
          <w:p>
            <w:pPr>
              <w:pStyle w:val="54"/>
            </w:pPr>
            <w:r>
              <w:rPr>
                <w:rFonts w:hint="eastAsia"/>
              </w:rPr>
              <w:t>宁波音乐港</w:t>
            </w:r>
            <w:r>
              <w:t>建设</w:t>
            </w:r>
          </w:p>
        </w:tc>
        <w:tc>
          <w:tcPr>
            <w:tcW w:w="1810" w:type="pct"/>
            <w:vAlign w:val="center"/>
          </w:tcPr>
          <w:p>
            <w:pPr>
              <w:pStyle w:val="54"/>
            </w:pPr>
            <w:r>
              <w:rPr>
                <w:rFonts w:hint="eastAsia"/>
              </w:rPr>
              <w:t>以宁波大剧院及其周边为核心，打造宁波音乐港的总部、国际国内高端音乐演出平台、音乐大师集聚区。</w:t>
            </w:r>
          </w:p>
        </w:tc>
        <w:tc>
          <w:tcPr>
            <w:tcW w:w="548" w:type="pct"/>
            <w:vAlign w:val="center"/>
          </w:tcPr>
          <w:p>
            <w:pPr>
              <w:pStyle w:val="54"/>
            </w:pPr>
            <w:r>
              <w:rPr>
                <w:rFonts w:hint="eastAsia"/>
              </w:rPr>
              <w:t>2019-</w:t>
            </w:r>
            <w:r>
              <w:t>2030</w:t>
            </w:r>
            <w:r>
              <w:rPr>
                <w:rFonts w:hint="eastAsia"/>
              </w:rPr>
              <w:t>年</w:t>
            </w:r>
          </w:p>
        </w:tc>
        <w:tc>
          <w:tcPr>
            <w:tcW w:w="502" w:type="pct"/>
            <w:vAlign w:val="center"/>
          </w:tcPr>
          <w:p>
            <w:pPr>
              <w:pStyle w:val="54"/>
            </w:pPr>
            <w:r>
              <w:rPr>
                <w:rFonts w:hint="eastAsia"/>
              </w:rPr>
              <w:t>1</w:t>
            </w:r>
            <w:r>
              <w:t>0000</w:t>
            </w:r>
          </w:p>
        </w:tc>
        <w:tc>
          <w:tcPr>
            <w:tcW w:w="931" w:type="pct"/>
            <w:vAlign w:val="center"/>
          </w:tcPr>
          <w:p>
            <w:pPr>
              <w:pStyle w:val="54"/>
            </w:pPr>
            <w:r>
              <w:rPr>
                <w:rFonts w:hint="eastAsia"/>
              </w:rPr>
              <w:t>区文化广电旅游局</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207" w:type="pct"/>
            <w:vMerge w:val="continue"/>
            <w:vAlign w:val="center"/>
          </w:tcPr>
          <w:p>
            <w:pPr>
              <w:pStyle w:val="54"/>
            </w:pPr>
          </w:p>
        </w:tc>
        <w:tc>
          <w:tcPr>
            <w:tcW w:w="177" w:type="pct"/>
            <w:vAlign w:val="center"/>
          </w:tcPr>
          <w:p>
            <w:pPr>
              <w:pStyle w:val="54"/>
            </w:pPr>
            <w:r>
              <w:t>47</w:t>
            </w:r>
          </w:p>
        </w:tc>
        <w:tc>
          <w:tcPr>
            <w:tcW w:w="825" w:type="pct"/>
            <w:vAlign w:val="center"/>
          </w:tcPr>
          <w:p>
            <w:pPr>
              <w:pStyle w:val="54"/>
            </w:pPr>
            <w:r>
              <w:rPr>
                <w:rFonts w:hint="eastAsia"/>
              </w:rPr>
              <w:t>大运河绘本小镇建设</w:t>
            </w:r>
          </w:p>
        </w:tc>
        <w:tc>
          <w:tcPr>
            <w:tcW w:w="1810" w:type="pct"/>
            <w:vAlign w:val="center"/>
          </w:tcPr>
          <w:p>
            <w:pPr>
              <w:pStyle w:val="54"/>
            </w:pPr>
            <w:r>
              <w:rPr>
                <w:rFonts w:hint="eastAsia"/>
              </w:rPr>
              <w:t>以运河风光、历史传说、海丝文化为内容素材，建成以运河文化和海丝文化为内涵的绘本IP主题公园及社区、文化产业生态园。</w:t>
            </w:r>
          </w:p>
        </w:tc>
        <w:tc>
          <w:tcPr>
            <w:tcW w:w="548" w:type="pct"/>
            <w:vAlign w:val="center"/>
          </w:tcPr>
          <w:p>
            <w:pPr>
              <w:pStyle w:val="54"/>
            </w:pPr>
            <w:r>
              <w:rPr>
                <w:rFonts w:hint="eastAsia"/>
              </w:rPr>
              <w:t>2021-</w:t>
            </w:r>
            <w:r>
              <w:t>2030</w:t>
            </w:r>
            <w:r>
              <w:rPr>
                <w:rFonts w:hint="eastAsia"/>
              </w:rPr>
              <w:t>年</w:t>
            </w:r>
          </w:p>
        </w:tc>
        <w:tc>
          <w:tcPr>
            <w:tcW w:w="502" w:type="pct"/>
            <w:vAlign w:val="center"/>
          </w:tcPr>
          <w:p>
            <w:pPr>
              <w:pStyle w:val="54"/>
            </w:pPr>
            <w:r>
              <w:rPr>
                <w:rFonts w:hint="eastAsia"/>
              </w:rPr>
              <w:t>20000</w:t>
            </w:r>
          </w:p>
        </w:tc>
        <w:tc>
          <w:tcPr>
            <w:tcW w:w="931" w:type="pct"/>
            <w:vAlign w:val="center"/>
          </w:tcPr>
          <w:p>
            <w:pPr>
              <w:pStyle w:val="54"/>
            </w:pPr>
            <w:r>
              <w:rPr>
                <w:rFonts w:hint="eastAsia"/>
              </w:rPr>
              <w:t>慈城镇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207" w:type="pct"/>
            <w:vMerge w:val="continue"/>
            <w:vAlign w:val="center"/>
          </w:tcPr>
          <w:p>
            <w:pPr>
              <w:pStyle w:val="54"/>
            </w:pPr>
          </w:p>
        </w:tc>
        <w:tc>
          <w:tcPr>
            <w:tcW w:w="177" w:type="pct"/>
            <w:vAlign w:val="center"/>
          </w:tcPr>
          <w:p>
            <w:pPr>
              <w:pStyle w:val="54"/>
            </w:pPr>
            <w:r>
              <w:t>48</w:t>
            </w:r>
          </w:p>
        </w:tc>
        <w:tc>
          <w:tcPr>
            <w:tcW w:w="825" w:type="pct"/>
            <w:vAlign w:val="center"/>
          </w:tcPr>
          <w:p>
            <w:pPr>
              <w:pStyle w:val="54"/>
            </w:pPr>
            <w:r>
              <w:rPr>
                <w:rFonts w:hint="eastAsia"/>
              </w:rPr>
              <w:t>康乐运河图景小镇</w:t>
            </w:r>
          </w:p>
        </w:tc>
        <w:tc>
          <w:tcPr>
            <w:tcW w:w="1810" w:type="pct"/>
            <w:vAlign w:val="center"/>
          </w:tcPr>
          <w:p>
            <w:pPr>
              <w:pStyle w:val="54"/>
            </w:pPr>
            <w:r>
              <w:rPr>
                <w:rFonts w:hint="eastAsia"/>
              </w:rPr>
              <w:t>利用慈城古镇和保国寺两大历史精品遗存和周边古村落，结合现代科技、理念，营造新时代、新运河、新康乐生活图景，建设打造微图景运河水街、康乐生活馆群、健康养生社区、荪湖棋牌谷。</w:t>
            </w:r>
          </w:p>
        </w:tc>
        <w:tc>
          <w:tcPr>
            <w:tcW w:w="548" w:type="pct"/>
            <w:vAlign w:val="center"/>
          </w:tcPr>
          <w:p>
            <w:pPr>
              <w:pStyle w:val="54"/>
            </w:pPr>
            <w:r>
              <w:rPr>
                <w:rFonts w:hint="eastAsia"/>
              </w:rPr>
              <w:t>2019-</w:t>
            </w:r>
            <w:r>
              <w:t>2030</w:t>
            </w:r>
            <w:r>
              <w:rPr>
                <w:rFonts w:hint="eastAsia"/>
              </w:rPr>
              <w:t>年</w:t>
            </w:r>
          </w:p>
        </w:tc>
        <w:tc>
          <w:tcPr>
            <w:tcW w:w="502" w:type="pct"/>
            <w:vAlign w:val="center"/>
          </w:tcPr>
          <w:p>
            <w:pPr>
              <w:pStyle w:val="54"/>
            </w:pPr>
            <w:r>
              <w:rPr>
                <w:rFonts w:hint="eastAsia"/>
              </w:rPr>
              <w:t>200000</w:t>
            </w:r>
          </w:p>
        </w:tc>
        <w:tc>
          <w:tcPr>
            <w:tcW w:w="931" w:type="pct"/>
            <w:vAlign w:val="center"/>
          </w:tcPr>
          <w:p>
            <w:pPr>
              <w:pStyle w:val="54"/>
            </w:pPr>
            <w:r>
              <w:rPr>
                <w:rFonts w:hint="eastAsia"/>
              </w:rPr>
              <w:t>保荪办</w:t>
            </w:r>
          </w:p>
        </w:tc>
      </w:tr>
    </w:tbl>
    <w:p>
      <w:pPr>
        <w:spacing w:line="384" w:lineRule="auto"/>
        <w:ind w:firstLine="600" w:firstLineChars="200"/>
        <w:rPr>
          <w:rFonts w:cs="Times New Roman"/>
          <w:szCs w:val="28"/>
        </w:rPr>
        <w:sectPr>
          <w:pgSz w:w="16838" w:h="11906" w:orient="landscape"/>
          <w:pgMar w:top="1800" w:right="1440" w:bottom="1800" w:left="1440" w:header="851" w:footer="992" w:gutter="0"/>
          <w:cols w:space="425" w:num="1"/>
          <w:docGrid w:type="lines" w:linePitch="381" w:charSpace="0"/>
        </w:sectPr>
      </w:pPr>
    </w:p>
    <w:p>
      <w:pPr>
        <w:pStyle w:val="2"/>
      </w:pPr>
      <w:bookmarkStart w:id="76" w:name="_Toc503535079"/>
      <w:bookmarkStart w:id="77" w:name="_Toc495421034"/>
      <w:r>
        <w:t xml:space="preserve"> </w:t>
      </w:r>
      <w:bookmarkStart w:id="78" w:name="_Toc66031133"/>
      <w:r>
        <w:t>保障措施</w:t>
      </w:r>
      <w:bookmarkEnd w:id="76"/>
      <w:bookmarkEnd w:id="77"/>
      <w:bookmarkEnd w:id="78"/>
    </w:p>
    <w:p>
      <w:pPr>
        <w:pStyle w:val="3"/>
        <w:numPr>
          <w:ilvl w:val="0"/>
          <w:numId w:val="16"/>
        </w:numPr>
      </w:pPr>
      <w:bookmarkStart w:id="79" w:name="_Toc66031134"/>
      <w:r>
        <w:t>法治机制</w:t>
      </w:r>
      <w:bookmarkEnd w:id="79"/>
    </w:p>
    <w:p>
      <w:pPr>
        <w:spacing w:line="384" w:lineRule="auto"/>
        <w:ind w:firstLine="600" w:firstLineChars="200"/>
        <w:rPr>
          <w:rFonts w:cs="Times New Roman"/>
          <w:szCs w:val="28"/>
        </w:rPr>
      </w:pPr>
      <w:r>
        <w:rPr>
          <w:rFonts w:hint="eastAsia" w:cs="Times New Roman"/>
          <w:szCs w:val="28"/>
        </w:rPr>
        <w:t>坚持和完善生态文明法治体系，逐步建立严密的生态文明法治体系，发动来自政府、市场和社会的多元主体共同参与涉及生态文明领域活动和行为的监督与治理机制，实行最严格的制度、最严密的法治, ,以保障生态文明建设有序推进。根据规划要求明确责任目标机制，建立完善生态文明建设示范区的目标责任制和激励约束机制，确保责任到位、措施到位、投入到位。落实生态文明建设的年度计划，各街道（镇）、各部门要严格按照规划要求制定年度工作具体实施计划，各司其职，精心组织实施，每5年进行一次回顾性评价并根据最新要求修编。将生态文明建设工作纳入各级领导干部政绩考核的重要内容，完善责任追究制度。</w:t>
      </w:r>
    </w:p>
    <w:p>
      <w:pPr>
        <w:pStyle w:val="3"/>
        <w:numPr>
          <w:ilvl w:val="0"/>
          <w:numId w:val="16"/>
        </w:numPr>
      </w:pPr>
      <w:bookmarkStart w:id="80" w:name="_Toc66031135"/>
      <w:r>
        <w:t>组织</w:t>
      </w:r>
      <w:r>
        <w:rPr>
          <w:rFonts w:hint="eastAsia"/>
        </w:rPr>
        <w:t>领导</w:t>
      </w:r>
      <w:bookmarkEnd w:id="80"/>
    </w:p>
    <w:p>
      <w:pPr>
        <w:spacing w:line="360" w:lineRule="auto"/>
        <w:ind w:firstLine="600" w:firstLineChars="200"/>
        <w:rPr>
          <w:rFonts w:cs="Times New Roman"/>
          <w:szCs w:val="28"/>
        </w:rPr>
      </w:pPr>
      <w:r>
        <w:rPr>
          <w:rFonts w:hint="eastAsia" w:cs="Times New Roman"/>
          <w:szCs w:val="28"/>
        </w:rPr>
        <w:t>生态环境保护和建设是一项多学科交叉，跨地区、跨部门、跨行业、多部门协作的综合性系统工程，必须切实加强领导，精心组织，建立明确的组织机构全力推进。区委、区政府定期开展生态文明建设专题会议，美丽江北建设领导小组牵头，对生态文明建设重大事项进行统一部署、综合决策，统筹协调各部门、各街道（镇）、园区行动，定期研究解决生态文明建设中的重大问题。各部门、街道（镇）按照职责分工落实本领域、本行业的生态文明建设及管理工作。</w:t>
      </w:r>
    </w:p>
    <w:p>
      <w:pPr>
        <w:pStyle w:val="3"/>
      </w:pPr>
      <w:bookmarkStart w:id="81" w:name="_Toc66031136"/>
      <w:r>
        <w:t>资金保障</w:t>
      </w:r>
      <w:bookmarkEnd w:id="81"/>
    </w:p>
    <w:p>
      <w:pPr>
        <w:spacing w:line="360" w:lineRule="auto"/>
        <w:ind w:firstLine="600" w:firstLineChars="200"/>
        <w:rPr>
          <w:rFonts w:cs="Times New Roman"/>
          <w:szCs w:val="28"/>
        </w:rPr>
      </w:pPr>
      <w:r>
        <w:rPr>
          <w:rFonts w:hint="eastAsia" w:cs="Times New Roman"/>
          <w:szCs w:val="28"/>
        </w:rPr>
        <w:t>进一步加大生态文明建设资金投入，建立健全生态文明建设的多元化投融机制，拓宽筹资渠道，确保经费投入，充分利用PPP、BOT、BT等融资模式，利用外资、民资建设生态基础设施，按照生态文明建设需要，分轻、重、缓、急合理有序安排项目建设，形成政府、企业、个人、集体共同参与，国内外多方融资，多形式、多渠道、多层次筹集资金投入机制，确保生态文明建设示范区建设的投入。</w:t>
      </w:r>
    </w:p>
    <w:p>
      <w:pPr>
        <w:pStyle w:val="3"/>
      </w:pPr>
      <w:bookmarkStart w:id="82" w:name="_Toc66031137"/>
      <w:r>
        <w:t>技术</w:t>
      </w:r>
      <w:r>
        <w:rPr>
          <w:rFonts w:hint="eastAsia"/>
        </w:rPr>
        <w:t>支撑</w:t>
      </w:r>
      <w:bookmarkEnd w:id="82"/>
    </w:p>
    <w:p>
      <w:pPr>
        <w:spacing w:line="360" w:lineRule="auto"/>
        <w:ind w:firstLine="600" w:firstLineChars="200"/>
        <w:rPr>
          <w:rFonts w:cs="Times New Roman"/>
          <w:szCs w:val="28"/>
        </w:rPr>
      </w:pPr>
      <w:r>
        <w:rPr>
          <w:rFonts w:hint="eastAsia" w:cs="Times New Roman"/>
          <w:szCs w:val="28"/>
        </w:rPr>
        <w:t>加强先进环保适用技术的引进、推广。完善生态环境动态监测网络，实现信息资源共享和监测资料综合集成。强化环境保护基础研究，促进环境科技工作由“跟踪应急型”向“先导创新型”的转变，为生态环境保护、环境管理、环境监测、污染防治、监督执法等提供坚实的理论依据。加强专业人才队伍的建设，加大街道、镇生态环境专业人员投入，定期开展街道（镇）相关业务培训，提高基层业务水平，建立一套有利于专业人才培养和使用的激励机制，创建和完善科学的专业人才引进和培养制度，营造人才发展的良好环境。</w:t>
      </w:r>
    </w:p>
    <w:p>
      <w:pPr>
        <w:pStyle w:val="3"/>
      </w:pPr>
      <w:bookmarkStart w:id="83" w:name="_Toc66031138"/>
      <w:r>
        <w:rPr>
          <w:rFonts w:hint="eastAsia"/>
        </w:rPr>
        <w:t>公众参与</w:t>
      </w:r>
      <w:bookmarkEnd w:id="83"/>
    </w:p>
    <w:p>
      <w:pPr>
        <w:spacing w:line="360" w:lineRule="auto"/>
        <w:ind w:firstLine="600" w:firstLineChars="200"/>
      </w:pPr>
      <w:r>
        <w:rPr>
          <w:rFonts w:hint="eastAsia" w:cs="Times New Roman"/>
          <w:szCs w:val="28"/>
        </w:rPr>
        <w:t>充分发挥基层网格化系统作用，把生态环保宣传带入基层，走进基层，深入基层，有针对性的解决群众所惑，提高广大人民群众的生态文明理念。通过举办环保图片展、悬挂宣传横幅、散发宣传资料、绿色社区、环境友好型学校创建等各类形式的活动，全面提高广大群众对生态文明建设的参与度和满意度。着力抓好媒体系列报道，在新江北、江北有线、江北新闻网、江北发布等主流平台设立“生态文明建设示范区”专栏专题，营造良好的生态文明建设工作舆论氛围</w:t>
      </w:r>
      <w:r>
        <w:rPr>
          <w:rFonts w:cs="Times New Roman"/>
          <w:szCs w:val="28"/>
        </w:rPr>
        <w:t>。</w:t>
      </w:r>
    </w:p>
    <w:sectPr>
      <w:pgSz w:w="11906" w:h="16838"/>
      <w:pgMar w:top="1440" w:right="1800" w:bottom="1440" w:left="1800" w:header="851" w:footer="992" w:gutter="0"/>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p>
  <w:p>
    <w:pPr>
      <w:pStyle w:val="17"/>
      <w:pBdr>
        <w:bottom w:val="none" w:color="auto" w:sz="0" w:space="0"/>
      </w:pBdr>
      <w:ind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8350269"/>
    </w:sdtPr>
    <w:sdtContent>
      <w:p>
        <w:pPr>
          <w:pStyle w:val="16"/>
          <w:ind w:firstLine="360"/>
          <w:jc w:val="center"/>
        </w:pPr>
        <w:r>
          <w:fldChar w:fldCharType="begin"/>
        </w:r>
        <w:r>
          <w:instrText xml:space="preserve">PAGE   \* MERGEFORMAT</w:instrText>
        </w:r>
        <w:r>
          <w:fldChar w:fldCharType="separate"/>
        </w:r>
        <w:r>
          <w:rPr>
            <w:lang w:val="zh-CN"/>
          </w:rPr>
          <w:t>II</w:t>
        </w:r>
        <w:r>
          <w:fldChar w:fldCharType="end"/>
        </w:r>
      </w:p>
    </w:sdtContent>
  </w:sdt>
  <w:p>
    <w:pPr>
      <w:pStyle w:val="17"/>
      <w:pBdr>
        <w:bottom w:val="none" w:color="auto" w:sz="0" w:space="0"/>
      </w:pBdr>
      <w:ind w:firstLine="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p>
  <w:p>
    <w:pPr>
      <w:pStyle w:val="17"/>
      <w:pBdr>
        <w:bottom w:val="none" w:color="auto" w:sz="0" w:space="0"/>
      </w:pBdr>
      <w:ind w:firstLine="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7591103"/>
    </w:sdtPr>
    <w:sdtContent>
      <w:p>
        <w:pPr>
          <w:pStyle w:val="16"/>
          <w:ind w:firstLine="360"/>
          <w:jc w:val="center"/>
        </w:pPr>
        <w:r>
          <w:fldChar w:fldCharType="begin"/>
        </w:r>
        <w:r>
          <w:instrText xml:space="preserve">PAGE   \* MERGEFORMAT</w:instrText>
        </w:r>
        <w:r>
          <w:fldChar w:fldCharType="separate"/>
        </w:r>
        <w:r>
          <w:rPr>
            <w:lang w:val="zh-CN"/>
          </w:rPr>
          <w:t>7</w:t>
        </w:r>
        <w:r>
          <w:fldChar w:fldCharType="end"/>
        </w:r>
      </w:p>
    </w:sdtContent>
  </w:sdt>
  <w:p>
    <w:pPr>
      <w:pStyle w:val="17"/>
      <w:pBdr>
        <w:bottom w:val="none" w:color="auto" w:sz="0" w:space="0"/>
      </w:pBdr>
      <w:ind w:firstLine="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4473250"/>
    </w:sdtPr>
    <w:sdtContent>
      <w:p>
        <w:pPr>
          <w:pStyle w:val="16"/>
          <w:ind w:firstLine="360"/>
          <w:jc w:val="center"/>
        </w:pPr>
        <w:r>
          <w:fldChar w:fldCharType="begin"/>
        </w:r>
        <w:r>
          <w:instrText xml:space="preserve">PAGE   \* MERGEFORMAT</w:instrText>
        </w:r>
        <w:r>
          <w:fldChar w:fldCharType="separate"/>
        </w:r>
        <w:r>
          <w:rPr>
            <w:lang w:val="zh-CN"/>
          </w:rPr>
          <w:t>24</w:t>
        </w:r>
        <w:r>
          <w:fldChar w:fldCharType="end"/>
        </w:r>
      </w:p>
    </w:sdtContent>
  </w:sdt>
  <w:p>
    <w:pPr>
      <w:pStyle w:val="17"/>
      <w:pBdr>
        <w:bottom w:val="none" w:color="auto" w:sz="0" w:space="0"/>
      </w:pBdr>
      <w:ind w:firstLine="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4742660"/>
    </w:sdtPr>
    <w:sdtContent>
      <w:p>
        <w:pPr>
          <w:pStyle w:val="16"/>
          <w:ind w:firstLine="360"/>
          <w:jc w:val="center"/>
        </w:pPr>
        <w:r>
          <w:fldChar w:fldCharType="begin"/>
        </w:r>
        <w:r>
          <w:instrText xml:space="preserve">PAGE   \* MERGEFORMAT</w:instrText>
        </w:r>
        <w:r>
          <w:fldChar w:fldCharType="separate"/>
        </w:r>
        <w:r>
          <w:rPr>
            <w:lang w:val="zh-CN"/>
          </w:rPr>
          <w:t>66</w:t>
        </w:r>
        <w:r>
          <w:fldChar w:fldCharType="end"/>
        </w:r>
      </w:p>
    </w:sdtContent>
  </w:sdt>
  <w:p>
    <w:pPr>
      <w:pStyle w:val="17"/>
      <w:pBdr>
        <w:bottom w:val="none" w:color="auto" w:sz="0" w:space="0"/>
      </w:pBdr>
      <w:ind w:firstLine="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678CD"/>
    <w:multiLevelType w:val="multilevel"/>
    <w:tmpl w:val="1C3678CD"/>
    <w:lvl w:ilvl="0" w:tentative="0">
      <w:start w:val="2"/>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91825F4"/>
    <w:multiLevelType w:val="multilevel"/>
    <w:tmpl w:val="291825F4"/>
    <w:lvl w:ilvl="0" w:tentative="0">
      <w:start w:val="1"/>
      <w:numFmt w:val="chineseCountingThousand"/>
      <w:lvlText w:val="第%1节"/>
      <w:lvlJc w:val="left"/>
      <w:pPr>
        <w:ind w:left="0" w:firstLine="0"/>
      </w:pPr>
      <w:rPr>
        <w:rFonts w:hint="eastAsia"/>
        <w:lang w:val="en-US"/>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2">
    <w:nsid w:val="2ACC0319"/>
    <w:multiLevelType w:val="multilevel"/>
    <w:tmpl w:val="2ACC0319"/>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6AB69B1"/>
    <w:multiLevelType w:val="multilevel"/>
    <w:tmpl w:val="36AB69B1"/>
    <w:lvl w:ilvl="0" w:tentative="0">
      <w:start w:val="1"/>
      <w:numFmt w:val="chineseCountingThousand"/>
      <w:lvlText w:val="第%1节"/>
      <w:lvlJc w:val="left"/>
      <w:pPr>
        <w:ind w:left="0" w:firstLine="0"/>
      </w:pPr>
      <w:rPr>
        <w:rFonts w:hint="eastAsia"/>
        <w:lang w:val="en-US"/>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4">
    <w:nsid w:val="3CB9456C"/>
    <w:multiLevelType w:val="multilevel"/>
    <w:tmpl w:val="3CB9456C"/>
    <w:lvl w:ilvl="0" w:tentative="0">
      <w:start w:val="1"/>
      <w:numFmt w:val="chineseCountingThousand"/>
      <w:pStyle w:val="3"/>
      <w:lvlText w:val="第%1节"/>
      <w:lvlJc w:val="left"/>
      <w:pPr>
        <w:ind w:left="0" w:firstLine="0"/>
      </w:pPr>
      <w:rPr>
        <w:rFonts w:hint="eastAsia"/>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2297092"/>
    <w:multiLevelType w:val="multilevel"/>
    <w:tmpl w:val="42297092"/>
    <w:lvl w:ilvl="0" w:tentative="0">
      <w:start w:val="1"/>
      <w:numFmt w:val="chineseCountingThousand"/>
      <w:lvlText w:val="第%1节"/>
      <w:lvlJc w:val="left"/>
      <w:pPr>
        <w:ind w:left="0" w:firstLine="0"/>
      </w:pPr>
      <w:rPr>
        <w:rFonts w:hint="eastAsia"/>
        <w:lang w:val="en-US"/>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6">
    <w:nsid w:val="60090789"/>
    <w:multiLevelType w:val="multilevel"/>
    <w:tmpl w:val="60090789"/>
    <w:lvl w:ilvl="0" w:tentative="0">
      <w:start w:val="1"/>
      <w:numFmt w:val="chineseCountingThousand"/>
      <w:pStyle w:val="2"/>
      <w:suff w:val="nothing"/>
      <w:lvlText w:val="第%1章"/>
      <w:lvlJc w:val="left"/>
      <w:pPr>
        <w:ind w:left="0" w:firstLine="0"/>
      </w:pPr>
      <w:rPr>
        <w:rFonts w:hint="eastAsia"/>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pStyle w:val="5"/>
      <w:suff w:val="nothing"/>
      <w:lvlText w:val=""/>
      <w:lvlJc w:val="left"/>
      <w:pPr>
        <w:ind w:left="0" w:firstLine="0"/>
      </w:pPr>
      <w:rPr>
        <w:rFonts w:hint="eastAsia"/>
      </w:rPr>
    </w:lvl>
    <w:lvl w:ilvl="4" w:tentative="0">
      <w:start w:val="1"/>
      <w:numFmt w:val="none"/>
      <w:pStyle w:val="6"/>
      <w:suff w:val="nothing"/>
      <w:lvlText w:val=""/>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7">
    <w:nsid w:val="6D1E621C"/>
    <w:multiLevelType w:val="multilevel"/>
    <w:tmpl w:val="6D1E621C"/>
    <w:lvl w:ilvl="0" w:tentative="0">
      <w:start w:val="1"/>
      <w:numFmt w:val="chineseCountingThousand"/>
      <w:pStyle w:val="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DE948DE"/>
    <w:multiLevelType w:val="multilevel"/>
    <w:tmpl w:val="6DE948DE"/>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5D41FF0"/>
    <w:multiLevelType w:val="multilevel"/>
    <w:tmpl w:val="75D41FF0"/>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4"/>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8"/>
  </w:num>
  <w:num w:numId="8">
    <w:abstractNumId w:val="2"/>
  </w:num>
  <w:num w:numId="9">
    <w:abstractNumId w:val="0"/>
  </w:num>
  <w:num w:numId="10">
    <w:abstractNumId w:val="5"/>
  </w:num>
  <w:num w:numId="11">
    <w:abstractNumId w:val="3"/>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418"/>
    <w:rsid w:val="0000290A"/>
    <w:rsid w:val="0000374D"/>
    <w:rsid w:val="00012645"/>
    <w:rsid w:val="00014C0F"/>
    <w:rsid w:val="00016118"/>
    <w:rsid w:val="00020809"/>
    <w:rsid w:val="000238F7"/>
    <w:rsid w:val="000259A7"/>
    <w:rsid w:val="00043634"/>
    <w:rsid w:val="00051290"/>
    <w:rsid w:val="00051435"/>
    <w:rsid w:val="000528E7"/>
    <w:rsid w:val="00066612"/>
    <w:rsid w:val="0007384C"/>
    <w:rsid w:val="00073F3D"/>
    <w:rsid w:val="00074820"/>
    <w:rsid w:val="00075377"/>
    <w:rsid w:val="00082042"/>
    <w:rsid w:val="000875FA"/>
    <w:rsid w:val="000A0BF3"/>
    <w:rsid w:val="000A2259"/>
    <w:rsid w:val="000A645A"/>
    <w:rsid w:val="000B593C"/>
    <w:rsid w:val="000C33E6"/>
    <w:rsid w:val="000C3D0A"/>
    <w:rsid w:val="000C4711"/>
    <w:rsid w:val="000C5414"/>
    <w:rsid w:val="000C75F9"/>
    <w:rsid w:val="000C7A32"/>
    <w:rsid w:val="000D05EA"/>
    <w:rsid w:val="000D2320"/>
    <w:rsid w:val="000D24C8"/>
    <w:rsid w:val="000D2D82"/>
    <w:rsid w:val="000E0B09"/>
    <w:rsid w:val="000E122E"/>
    <w:rsid w:val="000E14C8"/>
    <w:rsid w:val="000E308B"/>
    <w:rsid w:val="0010199B"/>
    <w:rsid w:val="001063D0"/>
    <w:rsid w:val="00115B8A"/>
    <w:rsid w:val="00116575"/>
    <w:rsid w:val="00117EF0"/>
    <w:rsid w:val="00122CEF"/>
    <w:rsid w:val="00134419"/>
    <w:rsid w:val="001373AB"/>
    <w:rsid w:val="00143D9C"/>
    <w:rsid w:val="00153545"/>
    <w:rsid w:val="00153A02"/>
    <w:rsid w:val="0015787B"/>
    <w:rsid w:val="00161C81"/>
    <w:rsid w:val="00163007"/>
    <w:rsid w:val="001714E1"/>
    <w:rsid w:val="0017240F"/>
    <w:rsid w:val="00173C34"/>
    <w:rsid w:val="00175C9C"/>
    <w:rsid w:val="00181B90"/>
    <w:rsid w:val="00183F7C"/>
    <w:rsid w:val="00184D7C"/>
    <w:rsid w:val="00192C44"/>
    <w:rsid w:val="001971B0"/>
    <w:rsid w:val="001A2854"/>
    <w:rsid w:val="001A44EE"/>
    <w:rsid w:val="001B16A1"/>
    <w:rsid w:val="001B280D"/>
    <w:rsid w:val="001B6455"/>
    <w:rsid w:val="001D04EB"/>
    <w:rsid w:val="001D4118"/>
    <w:rsid w:val="001D41CF"/>
    <w:rsid w:val="001E3837"/>
    <w:rsid w:val="001F1FFA"/>
    <w:rsid w:val="001F5C1A"/>
    <w:rsid w:val="001F79C9"/>
    <w:rsid w:val="00201FA0"/>
    <w:rsid w:val="002059B0"/>
    <w:rsid w:val="00205BE4"/>
    <w:rsid w:val="0021025B"/>
    <w:rsid w:val="00216660"/>
    <w:rsid w:val="00222234"/>
    <w:rsid w:val="002224E5"/>
    <w:rsid w:val="002251DC"/>
    <w:rsid w:val="00227814"/>
    <w:rsid w:val="00230C9C"/>
    <w:rsid w:val="00231466"/>
    <w:rsid w:val="00231AC7"/>
    <w:rsid w:val="00235122"/>
    <w:rsid w:val="00240983"/>
    <w:rsid w:val="002439BA"/>
    <w:rsid w:val="0024784F"/>
    <w:rsid w:val="00250202"/>
    <w:rsid w:val="00256172"/>
    <w:rsid w:val="0025796F"/>
    <w:rsid w:val="00261001"/>
    <w:rsid w:val="002654D3"/>
    <w:rsid w:val="00266EA9"/>
    <w:rsid w:val="0027020A"/>
    <w:rsid w:val="00281689"/>
    <w:rsid w:val="00282550"/>
    <w:rsid w:val="0028709D"/>
    <w:rsid w:val="00291AF1"/>
    <w:rsid w:val="00296675"/>
    <w:rsid w:val="00296F56"/>
    <w:rsid w:val="002A13BA"/>
    <w:rsid w:val="002A1C0A"/>
    <w:rsid w:val="002A217D"/>
    <w:rsid w:val="002A6408"/>
    <w:rsid w:val="002A658A"/>
    <w:rsid w:val="002B0491"/>
    <w:rsid w:val="002B3201"/>
    <w:rsid w:val="002C06B9"/>
    <w:rsid w:val="002C086E"/>
    <w:rsid w:val="002C1894"/>
    <w:rsid w:val="002D0418"/>
    <w:rsid w:val="002D2143"/>
    <w:rsid w:val="002D6BCA"/>
    <w:rsid w:val="002F3D6A"/>
    <w:rsid w:val="00301AA7"/>
    <w:rsid w:val="0030686B"/>
    <w:rsid w:val="00310562"/>
    <w:rsid w:val="00312070"/>
    <w:rsid w:val="00317D6D"/>
    <w:rsid w:val="003267A7"/>
    <w:rsid w:val="00326996"/>
    <w:rsid w:val="0033395D"/>
    <w:rsid w:val="00335B68"/>
    <w:rsid w:val="00343346"/>
    <w:rsid w:val="00343F22"/>
    <w:rsid w:val="00344B37"/>
    <w:rsid w:val="00346488"/>
    <w:rsid w:val="003477F1"/>
    <w:rsid w:val="0035649D"/>
    <w:rsid w:val="00365151"/>
    <w:rsid w:val="00371048"/>
    <w:rsid w:val="00372E21"/>
    <w:rsid w:val="0037432E"/>
    <w:rsid w:val="00374B46"/>
    <w:rsid w:val="00377C88"/>
    <w:rsid w:val="0038292A"/>
    <w:rsid w:val="003852DE"/>
    <w:rsid w:val="00394649"/>
    <w:rsid w:val="003951F9"/>
    <w:rsid w:val="00396445"/>
    <w:rsid w:val="0039749B"/>
    <w:rsid w:val="003A035E"/>
    <w:rsid w:val="003A2704"/>
    <w:rsid w:val="003A30D6"/>
    <w:rsid w:val="003B1A5C"/>
    <w:rsid w:val="003B583F"/>
    <w:rsid w:val="003C003B"/>
    <w:rsid w:val="003C2152"/>
    <w:rsid w:val="003C70BA"/>
    <w:rsid w:val="003D487A"/>
    <w:rsid w:val="003E3936"/>
    <w:rsid w:val="003E43BE"/>
    <w:rsid w:val="003E55C8"/>
    <w:rsid w:val="003F064A"/>
    <w:rsid w:val="003F148C"/>
    <w:rsid w:val="00407D85"/>
    <w:rsid w:val="004148DE"/>
    <w:rsid w:val="00416230"/>
    <w:rsid w:val="004172C8"/>
    <w:rsid w:val="00417DF4"/>
    <w:rsid w:val="0042614D"/>
    <w:rsid w:val="004263A7"/>
    <w:rsid w:val="00432ACC"/>
    <w:rsid w:val="00443D19"/>
    <w:rsid w:val="00444867"/>
    <w:rsid w:val="00463633"/>
    <w:rsid w:val="0046414F"/>
    <w:rsid w:val="00465E53"/>
    <w:rsid w:val="00476556"/>
    <w:rsid w:val="00486075"/>
    <w:rsid w:val="004867E5"/>
    <w:rsid w:val="00494FA3"/>
    <w:rsid w:val="00495F99"/>
    <w:rsid w:val="004A131B"/>
    <w:rsid w:val="004A29D8"/>
    <w:rsid w:val="004A316B"/>
    <w:rsid w:val="004A55FE"/>
    <w:rsid w:val="004A5A09"/>
    <w:rsid w:val="004A5C80"/>
    <w:rsid w:val="004D7B3A"/>
    <w:rsid w:val="004E006E"/>
    <w:rsid w:val="004E16F3"/>
    <w:rsid w:val="004E1A70"/>
    <w:rsid w:val="004F274C"/>
    <w:rsid w:val="004F739E"/>
    <w:rsid w:val="0050294D"/>
    <w:rsid w:val="00504EBF"/>
    <w:rsid w:val="00515BB7"/>
    <w:rsid w:val="00523C7A"/>
    <w:rsid w:val="00525F4E"/>
    <w:rsid w:val="00536565"/>
    <w:rsid w:val="00543042"/>
    <w:rsid w:val="00550B7C"/>
    <w:rsid w:val="0055139F"/>
    <w:rsid w:val="00564B2F"/>
    <w:rsid w:val="00567944"/>
    <w:rsid w:val="00576038"/>
    <w:rsid w:val="00587E18"/>
    <w:rsid w:val="00593405"/>
    <w:rsid w:val="0059458B"/>
    <w:rsid w:val="00596ED2"/>
    <w:rsid w:val="005A6EC5"/>
    <w:rsid w:val="005B0C8A"/>
    <w:rsid w:val="005B3CAB"/>
    <w:rsid w:val="005B4DF2"/>
    <w:rsid w:val="005B6E41"/>
    <w:rsid w:val="005B7013"/>
    <w:rsid w:val="005B75A9"/>
    <w:rsid w:val="005C2DC4"/>
    <w:rsid w:val="005D0389"/>
    <w:rsid w:val="005D1080"/>
    <w:rsid w:val="005D1A37"/>
    <w:rsid w:val="005D5191"/>
    <w:rsid w:val="005D5ECF"/>
    <w:rsid w:val="005E41D9"/>
    <w:rsid w:val="005E74CF"/>
    <w:rsid w:val="005F0329"/>
    <w:rsid w:val="005F4853"/>
    <w:rsid w:val="005F5664"/>
    <w:rsid w:val="006023D5"/>
    <w:rsid w:val="006051CD"/>
    <w:rsid w:val="0060533A"/>
    <w:rsid w:val="0060640E"/>
    <w:rsid w:val="00611645"/>
    <w:rsid w:val="00613181"/>
    <w:rsid w:val="00615C2E"/>
    <w:rsid w:val="00615E26"/>
    <w:rsid w:val="00617D27"/>
    <w:rsid w:val="00623851"/>
    <w:rsid w:val="00626F21"/>
    <w:rsid w:val="00635A0F"/>
    <w:rsid w:val="00637C45"/>
    <w:rsid w:val="0064232B"/>
    <w:rsid w:val="00645B4A"/>
    <w:rsid w:val="00650B40"/>
    <w:rsid w:val="00651ED9"/>
    <w:rsid w:val="0065392B"/>
    <w:rsid w:val="006571BA"/>
    <w:rsid w:val="00660C03"/>
    <w:rsid w:val="00663B28"/>
    <w:rsid w:val="006703D9"/>
    <w:rsid w:val="0068055D"/>
    <w:rsid w:val="00680FDB"/>
    <w:rsid w:val="00681DAB"/>
    <w:rsid w:val="0069048B"/>
    <w:rsid w:val="00690B33"/>
    <w:rsid w:val="00697496"/>
    <w:rsid w:val="006A07AD"/>
    <w:rsid w:val="006A20A6"/>
    <w:rsid w:val="006A6C9E"/>
    <w:rsid w:val="006A74F5"/>
    <w:rsid w:val="006B53BE"/>
    <w:rsid w:val="006B5947"/>
    <w:rsid w:val="006E379B"/>
    <w:rsid w:val="006E7C20"/>
    <w:rsid w:val="006F3B6E"/>
    <w:rsid w:val="00703682"/>
    <w:rsid w:val="007050AC"/>
    <w:rsid w:val="007148BB"/>
    <w:rsid w:val="00717042"/>
    <w:rsid w:val="007218C2"/>
    <w:rsid w:val="00733A6F"/>
    <w:rsid w:val="0073460F"/>
    <w:rsid w:val="00746AD5"/>
    <w:rsid w:val="00752813"/>
    <w:rsid w:val="007621A3"/>
    <w:rsid w:val="00762B6F"/>
    <w:rsid w:val="007701FE"/>
    <w:rsid w:val="00773047"/>
    <w:rsid w:val="007754E2"/>
    <w:rsid w:val="0077567C"/>
    <w:rsid w:val="00776920"/>
    <w:rsid w:val="00781D75"/>
    <w:rsid w:val="00782506"/>
    <w:rsid w:val="0078557B"/>
    <w:rsid w:val="00796701"/>
    <w:rsid w:val="007A24BC"/>
    <w:rsid w:val="007A2BD6"/>
    <w:rsid w:val="007B0CEA"/>
    <w:rsid w:val="007B66E6"/>
    <w:rsid w:val="007C3EA6"/>
    <w:rsid w:val="007D746A"/>
    <w:rsid w:val="007E1511"/>
    <w:rsid w:val="007E343A"/>
    <w:rsid w:val="007E7E63"/>
    <w:rsid w:val="007F1BE2"/>
    <w:rsid w:val="007F7A02"/>
    <w:rsid w:val="007F7A25"/>
    <w:rsid w:val="0080136C"/>
    <w:rsid w:val="00812D06"/>
    <w:rsid w:val="00821858"/>
    <w:rsid w:val="00834723"/>
    <w:rsid w:val="008348B1"/>
    <w:rsid w:val="0083730A"/>
    <w:rsid w:val="00841B4F"/>
    <w:rsid w:val="008522DC"/>
    <w:rsid w:val="00852C3C"/>
    <w:rsid w:val="00854429"/>
    <w:rsid w:val="008617F3"/>
    <w:rsid w:val="00863A12"/>
    <w:rsid w:val="00864B1F"/>
    <w:rsid w:val="00873191"/>
    <w:rsid w:val="00882F65"/>
    <w:rsid w:val="00883D7B"/>
    <w:rsid w:val="008965A1"/>
    <w:rsid w:val="008A0502"/>
    <w:rsid w:val="008A0971"/>
    <w:rsid w:val="008A2E9E"/>
    <w:rsid w:val="008A3BF9"/>
    <w:rsid w:val="008A6DA4"/>
    <w:rsid w:val="008B25BB"/>
    <w:rsid w:val="008B5C45"/>
    <w:rsid w:val="008C38DA"/>
    <w:rsid w:val="008C638E"/>
    <w:rsid w:val="008D4D7F"/>
    <w:rsid w:val="008D71D3"/>
    <w:rsid w:val="008D7921"/>
    <w:rsid w:val="008E12C6"/>
    <w:rsid w:val="008F1BFC"/>
    <w:rsid w:val="008F4D8F"/>
    <w:rsid w:val="008F7E8F"/>
    <w:rsid w:val="009052C9"/>
    <w:rsid w:val="00912AFC"/>
    <w:rsid w:val="00921889"/>
    <w:rsid w:val="00923860"/>
    <w:rsid w:val="00924411"/>
    <w:rsid w:val="0093044A"/>
    <w:rsid w:val="00933164"/>
    <w:rsid w:val="00933852"/>
    <w:rsid w:val="00943DAC"/>
    <w:rsid w:val="00944641"/>
    <w:rsid w:val="0095168C"/>
    <w:rsid w:val="009532F1"/>
    <w:rsid w:val="009629E1"/>
    <w:rsid w:val="00964182"/>
    <w:rsid w:val="0097007F"/>
    <w:rsid w:val="009777BE"/>
    <w:rsid w:val="00986B0C"/>
    <w:rsid w:val="00990FF9"/>
    <w:rsid w:val="00995055"/>
    <w:rsid w:val="009A1E72"/>
    <w:rsid w:val="009B468B"/>
    <w:rsid w:val="009C04F9"/>
    <w:rsid w:val="009C3360"/>
    <w:rsid w:val="009C6169"/>
    <w:rsid w:val="009D745B"/>
    <w:rsid w:val="009E2238"/>
    <w:rsid w:val="009E67F0"/>
    <w:rsid w:val="009F0E9F"/>
    <w:rsid w:val="009F0FAA"/>
    <w:rsid w:val="009F169C"/>
    <w:rsid w:val="00A058D6"/>
    <w:rsid w:val="00A07B41"/>
    <w:rsid w:val="00A12BA2"/>
    <w:rsid w:val="00A16041"/>
    <w:rsid w:val="00A23D04"/>
    <w:rsid w:val="00A25606"/>
    <w:rsid w:val="00A27312"/>
    <w:rsid w:val="00A306C5"/>
    <w:rsid w:val="00A400EB"/>
    <w:rsid w:val="00A461D2"/>
    <w:rsid w:val="00A53FC7"/>
    <w:rsid w:val="00A701AE"/>
    <w:rsid w:val="00A71AA9"/>
    <w:rsid w:val="00A801BB"/>
    <w:rsid w:val="00A90788"/>
    <w:rsid w:val="00A9090A"/>
    <w:rsid w:val="00A92D34"/>
    <w:rsid w:val="00A947AD"/>
    <w:rsid w:val="00A95E48"/>
    <w:rsid w:val="00A97A3C"/>
    <w:rsid w:val="00AA4C78"/>
    <w:rsid w:val="00AA7528"/>
    <w:rsid w:val="00AB2196"/>
    <w:rsid w:val="00AB45A0"/>
    <w:rsid w:val="00AB4A99"/>
    <w:rsid w:val="00AB5012"/>
    <w:rsid w:val="00AC1C71"/>
    <w:rsid w:val="00AC2555"/>
    <w:rsid w:val="00AC30D0"/>
    <w:rsid w:val="00AC3D5D"/>
    <w:rsid w:val="00AC6CC9"/>
    <w:rsid w:val="00AC7210"/>
    <w:rsid w:val="00AD047E"/>
    <w:rsid w:val="00AD2F5B"/>
    <w:rsid w:val="00AD31FB"/>
    <w:rsid w:val="00AE2371"/>
    <w:rsid w:val="00AE2F0A"/>
    <w:rsid w:val="00AF50E9"/>
    <w:rsid w:val="00AF5E50"/>
    <w:rsid w:val="00AF66F5"/>
    <w:rsid w:val="00B11A00"/>
    <w:rsid w:val="00B13128"/>
    <w:rsid w:val="00B15445"/>
    <w:rsid w:val="00B17075"/>
    <w:rsid w:val="00B22692"/>
    <w:rsid w:val="00B42381"/>
    <w:rsid w:val="00B463FF"/>
    <w:rsid w:val="00B5337E"/>
    <w:rsid w:val="00B55A62"/>
    <w:rsid w:val="00B64A0C"/>
    <w:rsid w:val="00B653AD"/>
    <w:rsid w:val="00B760F5"/>
    <w:rsid w:val="00B77315"/>
    <w:rsid w:val="00B804A6"/>
    <w:rsid w:val="00B8062A"/>
    <w:rsid w:val="00B81935"/>
    <w:rsid w:val="00BA41A2"/>
    <w:rsid w:val="00BA7F11"/>
    <w:rsid w:val="00BB6803"/>
    <w:rsid w:val="00BC2FDC"/>
    <w:rsid w:val="00BC3CC4"/>
    <w:rsid w:val="00BC5403"/>
    <w:rsid w:val="00BC64BF"/>
    <w:rsid w:val="00BE40F9"/>
    <w:rsid w:val="00BE478A"/>
    <w:rsid w:val="00BF571C"/>
    <w:rsid w:val="00C159B6"/>
    <w:rsid w:val="00C15F04"/>
    <w:rsid w:val="00C17EAE"/>
    <w:rsid w:val="00C2448F"/>
    <w:rsid w:val="00C26391"/>
    <w:rsid w:val="00C31FD7"/>
    <w:rsid w:val="00C33BA2"/>
    <w:rsid w:val="00C34233"/>
    <w:rsid w:val="00C42202"/>
    <w:rsid w:val="00C476F5"/>
    <w:rsid w:val="00C5497C"/>
    <w:rsid w:val="00C56D35"/>
    <w:rsid w:val="00C61D70"/>
    <w:rsid w:val="00C633F0"/>
    <w:rsid w:val="00C634E3"/>
    <w:rsid w:val="00C73F24"/>
    <w:rsid w:val="00C84956"/>
    <w:rsid w:val="00C87308"/>
    <w:rsid w:val="00C87E8C"/>
    <w:rsid w:val="00C93564"/>
    <w:rsid w:val="00CA1D30"/>
    <w:rsid w:val="00CB6923"/>
    <w:rsid w:val="00CB7706"/>
    <w:rsid w:val="00CC1303"/>
    <w:rsid w:val="00CC16F4"/>
    <w:rsid w:val="00CC3ABA"/>
    <w:rsid w:val="00CC3ED3"/>
    <w:rsid w:val="00CD3F2F"/>
    <w:rsid w:val="00CE09F7"/>
    <w:rsid w:val="00CE355A"/>
    <w:rsid w:val="00CE38CA"/>
    <w:rsid w:val="00CE4306"/>
    <w:rsid w:val="00CE6B21"/>
    <w:rsid w:val="00D03300"/>
    <w:rsid w:val="00D16407"/>
    <w:rsid w:val="00D30651"/>
    <w:rsid w:val="00D3598C"/>
    <w:rsid w:val="00D35DB4"/>
    <w:rsid w:val="00D37386"/>
    <w:rsid w:val="00D40D9E"/>
    <w:rsid w:val="00D4233F"/>
    <w:rsid w:val="00D519E2"/>
    <w:rsid w:val="00D546C3"/>
    <w:rsid w:val="00D57E2E"/>
    <w:rsid w:val="00D610DC"/>
    <w:rsid w:val="00D62C8B"/>
    <w:rsid w:val="00D67C82"/>
    <w:rsid w:val="00D70D1D"/>
    <w:rsid w:val="00D72EE0"/>
    <w:rsid w:val="00D733CF"/>
    <w:rsid w:val="00D82D6F"/>
    <w:rsid w:val="00D84A79"/>
    <w:rsid w:val="00D97A32"/>
    <w:rsid w:val="00DA6AFA"/>
    <w:rsid w:val="00DB32C6"/>
    <w:rsid w:val="00DB6307"/>
    <w:rsid w:val="00DC5BF8"/>
    <w:rsid w:val="00DC7EA5"/>
    <w:rsid w:val="00DD0F58"/>
    <w:rsid w:val="00DD25BC"/>
    <w:rsid w:val="00DE020A"/>
    <w:rsid w:val="00DE553A"/>
    <w:rsid w:val="00DE709A"/>
    <w:rsid w:val="00E02D65"/>
    <w:rsid w:val="00E17431"/>
    <w:rsid w:val="00E22BE0"/>
    <w:rsid w:val="00E36274"/>
    <w:rsid w:val="00E43A1E"/>
    <w:rsid w:val="00E5028D"/>
    <w:rsid w:val="00E52654"/>
    <w:rsid w:val="00E541CD"/>
    <w:rsid w:val="00E56688"/>
    <w:rsid w:val="00E5717A"/>
    <w:rsid w:val="00E572E1"/>
    <w:rsid w:val="00E642BA"/>
    <w:rsid w:val="00E73C09"/>
    <w:rsid w:val="00E77B33"/>
    <w:rsid w:val="00E85A27"/>
    <w:rsid w:val="00E9675B"/>
    <w:rsid w:val="00E96DE0"/>
    <w:rsid w:val="00EA3B2C"/>
    <w:rsid w:val="00EA4452"/>
    <w:rsid w:val="00EA7C6D"/>
    <w:rsid w:val="00EB4B00"/>
    <w:rsid w:val="00EB4B33"/>
    <w:rsid w:val="00EC46C7"/>
    <w:rsid w:val="00ED13DD"/>
    <w:rsid w:val="00ED707C"/>
    <w:rsid w:val="00EE60FF"/>
    <w:rsid w:val="00EE6A03"/>
    <w:rsid w:val="00EF1D7A"/>
    <w:rsid w:val="00EF3364"/>
    <w:rsid w:val="00EF3640"/>
    <w:rsid w:val="00EF6F9A"/>
    <w:rsid w:val="00F01A77"/>
    <w:rsid w:val="00F020AC"/>
    <w:rsid w:val="00F024D9"/>
    <w:rsid w:val="00F12889"/>
    <w:rsid w:val="00F20F80"/>
    <w:rsid w:val="00F23973"/>
    <w:rsid w:val="00F34BAC"/>
    <w:rsid w:val="00F40FCC"/>
    <w:rsid w:val="00F4345F"/>
    <w:rsid w:val="00F45DF9"/>
    <w:rsid w:val="00F5267E"/>
    <w:rsid w:val="00F52773"/>
    <w:rsid w:val="00F54962"/>
    <w:rsid w:val="00F55ACC"/>
    <w:rsid w:val="00F5735B"/>
    <w:rsid w:val="00F620A7"/>
    <w:rsid w:val="00F65308"/>
    <w:rsid w:val="00F705CA"/>
    <w:rsid w:val="00F77398"/>
    <w:rsid w:val="00F801DA"/>
    <w:rsid w:val="00F81C49"/>
    <w:rsid w:val="00F84201"/>
    <w:rsid w:val="00F908B5"/>
    <w:rsid w:val="00F92D30"/>
    <w:rsid w:val="00FA286C"/>
    <w:rsid w:val="00FA2F44"/>
    <w:rsid w:val="00FA750D"/>
    <w:rsid w:val="00FB16F7"/>
    <w:rsid w:val="00FB2491"/>
    <w:rsid w:val="00FB4242"/>
    <w:rsid w:val="00FB43E9"/>
    <w:rsid w:val="00FB7096"/>
    <w:rsid w:val="00FC1719"/>
    <w:rsid w:val="00FC3A41"/>
    <w:rsid w:val="00FD081F"/>
    <w:rsid w:val="00FD7F4C"/>
    <w:rsid w:val="00FE33A8"/>
    <w:rsid w:val="00FE42E9"/>
    <w:rsid w:val="00FF7B27"/>
    <w:rsid w:val="00FF7C95"/>
    <w:rsid w:val="078A382A"/>
    <w:rsid w:val="11743645"/>
    <w:rsid w:val="165E79BC"/>
    <w:rsid w:val="217B7780"/>
    <w:rsid w:val="22D84890"/>
    <w:rsid w:val="4595133B"/>
    <w:rsid w:val="47F62237"/>
    <w:rsid w:val="5C4C7337"/>
    <w:rsid w:val="7518190D"/>
    <w:rsid w:val="78F43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0"/>
      <w:szCs w:val="22"/>
      <w:lang w:val="en-US" w:eastAsia="zh-CN" w:bidi="ar-SA"/>
    </w:rPr>
  </w:style>
  <w:style w:type="paragraph" w:styleId="2">
    <w:name w:val="heading 1"/>
    <w:basedOn w:val="1"/>
    <w:next w:val="1"/>
    <w:link w:val="33"/>
    <w:qFormat/>
    <w:uiPriority w:val="0"/>
    <w:pPr>
      <w:keepNext/>
      <w:keepLines/>
      <w:numPr>
        <w:ilvl w:val="0"/>
        <w:numId w:val="1"/>
      </w:numPr>
      <w:tabs>
        <w:tab w:val="left" w:pos="0"/>
      </w:tabs>
      <w:spacing w:line="360" w:lineRule="auto"/>
      <w:jc w:val="center"/>
      <w:outlineLvl w:val="0"/>
    </w:pPr>
    <w:rPr>
      <w:rFonts w:eastAsia="仿宋" w:cs="Times New Roman"/>
      <w:b/>
      <w:bCs/>
      <w:kern w:val="44"/>
      <w:sz w:val="32"/>
      <w:szCs w:val="44"/>
    </w:rPr>
  </w:style>
  <w:style w:type="paragraph" w:styleId="3">
    <w:name w:val="heading 2"/>
    <w:basedOn w:val="1"/>
    <w:next w:val="1"/>
    <w:link w:val="34"/>
    <w:unhideWhenUsed/>
    <w:qFormat/>
    <w:uiPriority w:val="9"/>
    <w:pPr>
      <w:keepNext/>
      <w:keepLines/>
      <w:numPr>
        <w:ilvl w:val="0"/>
        <w:numId w:val="2"/>
      </w:numPr>
      <w:spacing w:line="360" w:lineRule="auto"/>
      <w:outlineLvl w:val="1"/>
    </w:pPr>
    <w:rPr>
      <w:rFonts w:asciiTheme="majorHAnsi" w:hAnsiTheme="majorHAnsi" w:cstheme="majorBidi"/>
      <w:b/>
      <w:bCs/>
      <w:szCs w:val="32"/>
    </w:rPr>
  </w:style>
  <w:style w:type="paragraph" w:styleId="4">
    <w:name w:val="heading 3"/>
    <w:basedOn w:val="1"/>
    <w:next w:val="1"/>
    <w:link w:val="35"/>
    <w:qFormat/>
    <w:uiPriority w:val="0"/>
    <w:pPr>
      <w:keepNext/>
      <w:keepLines/>
      <w:numPr>
        <w:ilvl w:val="0"/>
        <w:numId w:val="3"/>
      </w:numPr>
      <w:tabs>
        <w:tab w:val="left" w:pos="0"/>
        <w:tab w:val="left" w:pos="567"/>
        <w:tab w:val="left" w:pos="900"/>
        <w:tab w:val="left" w:pos="2835"/>
        <w:tab w:val="left" w:pos="6946"/>
      </w:tabs>
      <w:spacing w:line="360" w:lineRule="auto"/>
      <w:outlineLvl w:val="2"/>
    </w:pPr>
    <w:rPr>
      <w:rFonts w:cs="Times New Roman"/>
      <w:b/>
      <w:bCs/>
      <w:szCs w:val="21"/>
    </w:rPr>
  </w:style>
  <w:style w:type="paragraph" w:styleId="5">
    <w:name w:val="heading 4"/>
    <w:basedOn w:val="1"/>
    <w:next w:val="1"/>
    <w:link w:val="36"/>
    <w:qFormat/>
    <w:uiPriority w:val="0"/>
    <w:pPr>
      <w:numPr>
        <w:ilvl w:val="3"/>
        <w:numId w:val="1"/>
      </w:numPr>
      <w:tabs>
        <w:tab w:val="left" w:pos="864"/>
      </w:tabs>
      <w:adjustRightInd w:val="0"/>
      <w:spacing w:line="360" w:lineRule="auto"/>
      <w:jc w:val="left"/>
      <w:textAlignment w:val="baseline"/>
      <w:outlineLvl w:val="3"/>
    </w:pPr>
    <w:rPr>
      <w:rFonts w:eastAsia="宋体" w:cs="Times New Roman"/>
      <w:b/>
      <w:bCs/>
      <w:smallCaps/>
      <w:sz w:val="24"/>
      <w:szCs w:val="24"/>
    </w:rPr>
  </w:style>
  <w:style w:type="paragraph" w:styleId="6">
    <w:name w:val="heading 5"/>
    <w:basedOn w:val="1"/>
    <w:next w:val="1"/>
    <w:link w:val="37"/>
    <w:qFormat/>
    <w:uiPriority w:val="0"/>
    <w:pPr>
      <w:keepNext/>
      <w:keepLines/>
      <w:numPr>
        <w:ilvl w:val="4"/>
        <w:numId w:val="1"/>
      </w:numPr>
      <w:tabs>
        <w:tab w:val="left" w:pos="1008"/>
      </w:tabs>
      <w:spacing w:line="312" w:lineRule="auto"/>
      <w:outlineLvl w:val="4"/>
    </w:pPr>
    <w:rPr>
      <w:rFonts w:eastAsia="宋体" w:cs="Times New Roman"/>
      <w:b/>
      <w:bCs/>
      <w:sz w:val="24"/>
      <w:szCs w:val="28"/>
    </w:rPr>
  </w:style>
  <w:style w:type="paragraph" w:styleId="7">
    <w:name w:val="heading 6"/>
    <w:basedOn w:val="1"/>
    <w:next w:val="1"/>
    <w:link w:val="38"/>
    <w:qFormat/>
    <w:uiPriority w:val="0"/>
    <w:pPr>
      <w:keepNext/>
      <w:keepLines/>
      <w:widowControl/>
      <w:numPr>
        <w:ilvl w:val="5"/>
        <w:numId w:val="1"/>
      </w:numPr>
      <w:tabs>
        <w:tab w:val="left" w:pos="1152"/>
      </w:tabs>
      <w:spacing w:before="240" w:after="64" w:line="320" w:lineRule="auto"/>
      <w:jc w:val="left"/>
      <w:outlineLvl w:val="5"/>
    </w:pPr>
    <w:rPr>
      <w:rFonts w:ascii="Arial" w:hAnsi="Arial" w:eastAsia="黑体" w:cs="Times New Roman"/>
      <w:b/>
      <w:bCs/>
      <w:kern w:val="0"/>
      <w:sz w:val="24"/>
      <w:szCs w:val="24"/>
    </w:rPr>
  </w:style>
  <w:style w:type="paragraph" w:styleId="8">
    <w:name w:val="heading 7"/>
    <w:basedOn w:val="1"/>
    <w:next w:val="1"/>
    <w:link w:val="51"/>
    <w:semiHidden/>
    <w:unhideWhenUsed/>
    <w:qFormat/>
    <w:uiPriority w:val="9"/>
    <w:pPr>
      <w:keepNext/>
      <w:keepLines/>
      <w:numPr>
        <w:ilvl w:val="6"/>
        <w:numId w:val="1"/>
      </w:numPr>
      <w:spacing w:before="240" w:after="64" w:line="320" w:lineRule="auto"/>
      <w:outlineLvl w:val="6"/>
    </w:pPr>
    <w:rPr>
      <w:b/>
      <w:bCs/>
      <w:sz w:val="24"/>
      <w:szCs w:val="24"/>
    </w:rPr>
  </w:style>
  <w:style w:type="paragraph" w:styleId="9">
    <w:name w:val="heading 8"/>
    <w:basedOn w:val="1"/>
    <w:next w:val="1"/>
    <w:link w:val="52"/>
    <w:semiHidden/>
    <w:unhideWhenUsed/>
    <w:qFormat/>
    <w:uiPriority w:val="9"/>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53"/>
    <w:semiHidden/>
    <w:unhideWhenUsed/>
    <w:qFormat/>
    <w:uiPriority w:val="9"/>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25">
    <w:name w:val="Default Paragraph Font"/>
    <w:semiHidden/>
    <w:unhideWhenUsed/>
    <w:uiPriority w:val="1"/>
  </w:style>
  <w:style w:type="table" w:default="1" w:styleId="23">
    <w:name w:val="Normal Table"/>
    <w:semiHidden/>
    <w:unhideWhenUsed/>
    <w:uiPriority w:val="99"/>
    <w:tblPr>
      <w:tblCellMar>
        <w:top w:w="0" w:type="dxa"/>
        <w:left w:w="108" w:type="dxa"/>
        <w:bottom w:w="0" w:type="dxa"/>
        <w:right w:w="108" w:type="dxa"/>
      </w:tblCellMar>
    </w:tblPr>
  </w:style>
  <w:style w:type="paragraph" w:styleId="11">
    <w:name w:val="caption"/>
    <w:basedOn w:val="1"/>
    <w:next w:val="1"/>
    <w:unhideWhenUsed/>
    <w:qFormat/>
    <w:uiPriority w:val="0"/>
    <w:rPr>
      <w:rFonts w:eastAsia="黑体" w:asciiTheme="majorHAnsi" w:hAnsiTheme="majorHAnsi" w:cstheme="majorBidi"/>
      <w:sz w:val="20"/>
      <w:szCs w:val="20"/>
    </w:rPr>
  </w:style>
  <w:style w:type="paragraph" w:styleId="12">
    <w:name w:val="annotation text"/>
    <w:basedOn w:val="1"/>
    <w:link w:val="45"/>
    <w:unhideWhenUsed/>
    <w:qFormat/>
    <w:uiPriority w:val="99"/>
    <w:pPr>
      <w:jc w:val="left"/>
    </w:pPr>
    <w:rPr>
      <w:rFonts w:eastAsia="宋体" w:cs="Times New Roman"/>
      <w:szCs w:val="21"/>
    </w:rPr>
  </w:style>
  <w:style w:type="paragraph" w:styleId="13">
    <w:name w:val="toc 3"/>
    <w:basedOn w:val="1"/>
    <w:next w:val="1"/>
    <w:unhideWhenUsed/>
    <w:uiPriority w:val="39"/>
    <w:pPr>
      <w:ind w:left="840" w:leftChars="400"/>
    </w:pPr>
  </w:style>
  <w:style w:type="paragraph" w:styleId="14">
    <w:name w:val="endnote text"/>
    <w:basedOn w:val="1"/>
    <w:link w:val="49"/>
    <w:semiHidden/>
    <w:unhideWhenUsed/>
    <w:qFormat/>
    <w:uiPriority w:val="99"/>
    <w:pPr>
      <w:snapToGrid w:val="0"/>
      <w:jc w:val="left"/>
    </w:pPr>
    <w:rPr>
      <w:rFonts w:eastAsia="宋体" w:cs="Times New Roman"/>
      <w:szCs w:val="21"/>
    </w:rPr>
  </w:style>
  <w:style w:type="paragraph" w:styleId="15">
    <w:name w:val="Balloon Text"/>
    <w:basedOn w:val="1"/>
    <w:link w:val="44"/>
    <w:semiHidden/>
    <w:unhideWhenUsed/>
    <w:qFormat/>
    <w:uiPriority w:val="99"/>
    <w:rPr>
      <w:rFonts w:eastAsia="宋体" w:cs="Times New Roman"/>
      <w:sz w:val="18"/>
      <w:szCs w:val="18"/>
    </w:rPr>
  </w:style>
  <w:style w:type="paragraph" w:styleId="16">
    <w:name w:val="footer"/>
    <w:basedOn w:val="1"/>
    <w:link w:val="32"/>
    <w:unhideWhenUsed/>
    <w:qFormat/>
    <w:uiPriority w:val="99"/>
    <w:pPr>
      <w:tabs>
        <w:tab w:val="center" w:pos="4153"/>
        <w:tab w:val="right" w:pos="8306"/>
      </w:tabs>
      <w:snapToGrid w:val="0"/>
      <w:jc w:val="left"/>
    </w:pPr>
    <w:rPr>
      <w:sz w:val="18"/>
      <w:szCs w:val="18"/>
    </w:rPr>
  </w:style>
  <w:style w:type="paragraph" w:styleId="17">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rPr>
      <w:rFonts w:eastAsia="宋体" w:cs="Times New Roman"/>
      <w:szCs w:val="21"/>
    </w:rPr>
  </w:style>
  <w:style w:type="paragraph" w:styleId="19">
    <w:name w:val="footnote text"/>
    <w:basedOn w:val="1"/>
    <w:link w:val="50"/>
    <w:semiHidden/>
    <w:unhideWhenUsed/>
    <w:qFormat/>
    <w:uiPriority w:val="99"/>
    <w:pPr>
      <w:snapToGrid w:val="0"/>
      <w:jc w:val="left"/>
    </w:pPr>
    <w:rPr>
      <w:rFonts w:eastAsia="宋体" w:cs="Times New Roman"/>
      <w:sz w:val="18"/>
      <w:szCs w:val="18"/>
    </w:rPr>
  </w:style>
  <w:style w:type="paragraph" w:styleId="20">
    <w:name w:val="toc 2"/>
    <w:basedOn w:val="1"/>
    <w:next w:val="1"/>
    <w:unhideWhenUsed/>
    <w:qFormat/>
    <w:uiPriority w:val="39"/>
    <w:pPr>
      <w:ind w:left="420" w:leftChars="200"/>
    </w:pPr>
    <w:rPr>
      <w:rFonts w:eastAsia="宋体" w:cs="Times New Roman"/>
      <w:szCs w:val="21"/>
    </w:rPr>
  </w:style>
  <w:style w:type="paragraph" w:styleId="21">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paragraph" w:styleId="22">
    <w:name w:val="annotation subject"/>
    <w:basedOn w:val="12"/>
    <w:next w:val="12"/>
    <w:link w:val="46"/>
    <w:semiHidden/>
    <w:unhideWhenUsed/>
    <w:qFormat/>
    <w:uiPriority w:val="99"/>
    <w:rPr>
      <w:b/>
      <w:bCs/>
    </w:rPr>
  </w:style>
  <w:style w:type="table" w:styleId="24">
    <w:name w:val="Table Grid"/>
    <w:basedOn w:val="2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endnote reference"/>
    <w:basedOn w:val="25"/>
    <w:semiHidden/>
    <w:unhideWhenUsed/>
    <w:uiPriority w:val="99"/>
    <w:rPr>
      <w:vertAlign w:val="superscript"/>
    </w:rPr>
  </w:style>
  <w:style w:type="character" w:styleId="27">
    <w:name w:val="FollowedHyperlink"/>
    <w:basedOn w:val="25"/>
    <w:semiHidden/>
    <w:unhideWhenUsed/>
    <w:qFormat/>
    <w:uiPriority w:val="99"/>
    <w:rPr>
      <w:color w:val="954F72" w:themeColor="followedHyperlink"/>
      <w:u w:val="single"/>
      <w14:textFill>
        <w14:solidFill>
          <w14:schemeClr w14:val="folHlink"/>
        </w14:solidFill>
      </w14:textFill>
    </w:rPr>
  </w:style>
  <w:style w:type="character" w:styleId="28">
    <w:name w:val="Hyperlink"/>
    <w:basedOn w:val="25"/>
    <w:unhideWhenUsed/>
    <w:qFormat/>
    <w:uiPriority w:val="99"/>
    <w:rPr>
      <w:rFonts w:eastAsia="仿宋"/>
      <w:b/>
      <w:color w:val="0563C1" w:themeColor="hyperlink"/>
      <w:sz w:val="30"/>
      <w:u w:val="single"/>
      <w14:textFill>
        <w14:solidFill>
          <w14:schemeClr w14:val="hlink"/>
        </w14:solidFill>
      </w14:textFill>
    </w:rPr>
  </w:style>
  <w:style w:type="character" w:styleId="29">
    <w:name w:val="annotation reference"/>
    <w:basedOn w:val="25"/>
    <w:unhideWhenUsed/>
    <w:qFormat/>
    <w:uiPriority w:val="99"/>
    <w:rPr>
      <w:sz w:val="21"/>
      <w:szCs w:val="21"/>
    </w:rPr>
  </w:style>
  <w:style w:type="character" w:styleId="30">
    <w:name w:val="footnote reference"/>
    <w:basedOn w:val="25"/>
    <w:semiHidden/>
    <w:unhideWhenUsed/>
    <w:uiPriority w:val="99"/>
    <w:rPr>
      <w:vertAlign w:val="superscript"/>
    </w:rPr>
  </w:style>
  <w:style w:type="character" w:customStyle="1" w:styleId="31">
    <w:name w:val="页眉 Char"/>
    <w:basedOn w:val="25"/>
    <w:link w:val="17"/>
    <w:qFormat/>
    <w:uiPriority w:val="99"/>
    <w:rPr>
      <w:sz w:val="18"/>
      <w:szCs w:val="18"/>
    </w:rPr>
  </w:style>
  <w:style w:type="character" w:customStyle="1" w:styleId="32">
    <w:name w:val="页脚 Char"/>
    <w:basedOn w:val="25"/>
    <w:link w:val="16"/>
    <w:qFormat/>
    <w:uiPriority w:val="99"/>
    <w:rPr>
      <w:sz w:val="18"/>
      <w:szCs w:val="18"/>
    </w:rPr>
  </w:style>
  <w:style w:type="character" w:customStyle="1" w:styleId="33">
    <w:name w:val="标题 1 Char"/>
    <w:basedOn w:val="25"/>
    <w:link w:val="2"/>
    <w:qFormat/>
    <w:uiPriority w:val="0"/>
    <w:rPr>
      <w:rFonts w:ascii="Times New Roman" w:hAnsi="Times New Roman" w:eastAsia="仿宋" w:cs="Times New Roman"/>
      <w:b/>
      <w:bCs/>
      <w:kern w:val="44"/>
      <w:sz w:val="32"/>
      <w:szCs w:val="44"/>
    </w:rPr>
  </w:style>
  <w:style w:type="character" w:customStyle="1" w:styleId="34">
    <w:name w:val="标题 2 Char"/>
    <w:basedOn w:val="25"/>
    <w:link w:val="3"/>
    <w:uiPriority w:val="9"/>
    <w:rPr>
      <w:rFonts w:eastAsia="仿宋_GB2312" w:asciiTheme="majorHAnsi" w:hAnsiTheme="majorHAnsi" w:cstheme="majorBidi"/>
      <w:b/>
      <w:bCs/>
      <w:sz w:val="30"/>
      <w:szCs w:val="32"/>
    </w:rPr>
  </w:style>
  <w:style w:type="character" w:customStyle="1" w:styleId="35">
    <w:name w:val="标题 3 Char"/>
    <w:basedOn w:val="25"/>
    <w:link w:val="4"/>
    <w:qFormat/>
    <w:uiPriority w:val="0"/>
    <w:rPr>
      <w:rFonts w:ascii="Times New Roman" w:hAnsi="Times New Roman" w:eastAsia="仿宋_GB2312" w:cs="Times New Roman"/>
      <w:b/>
      <w:bCs/>
      <w:kern w:val="2"/>
      <w:sz w:val="28"/>
      <w:szCs w:val="21"/>
    </w:rPr>
  </w:style>
  <w:style w:type="character" w:customStyle="1" w:styleId="36">
    <w:name w:val="标题 4 Char"/>
    <w:basedOn w:val="25"/>
    <w:link w:val="5"/>
    <w:qFormat/>
    <w:uiPriority w:val="0"/>
    <w:rPr>
      <w:rFonts w:ascii="Times New Roman" w:hAnsi="Times New Roman" w:eastAsia="宋体" w:cs="Times New Roman"/>
      <w:b/>
      <w:bCs/>
      <w:smallCaps/>
      <w:sz w:val="24"/>
      <w:szCs w:val="24"/>
    </w:rPr>
  </w:style>
  <w:style w:type="character" w:customStyle="1" w:styleId="37">
    <w:name w:val="标题 5 Char"/>
    <w:basedOn w:val="25"/>
    <w:link w:val="6"/>
    <w:qFormat/>
    <w:uiPriority w:val="0"/>
    <w:rPr>
      <w:rFonts w:ascii="Times New Roman" w:hAnsi="Times New Roman" w:eastAsia="宋体" w:cs="Times New Roman"/>
      <w:b/>
      <w:bCs/>
      <w:sz w:val="24"/>
      <w:szCs w:val="28"/>
    </w:rPr>
  </w:style>
  <w:style w:type="character" w:customStyle="1" w:styleId="38">
    <w:name w:val="标题 6 Char"/>
    <w:basedOn w:val="25"/>
    <w:link w:val="7"/>
    <w:qFormat/>
    <w:uiPriority w:val="0"/>
    <w:rPr>
      <w:rFonts w:ascii="Arial" w:hAnsi="Arial" w:eastAsia="黑体" w:cs="Times New Roman"/>
      <w:b/>
      <w:bCs/>
      <w:kern w:val="0"/>
      <w:sz w:val="24"/>
      <w:szCs w:val="24"/>
    </w:rPr>
  </w:style>
  <w:style w:type="table" w:customStyle="1" w:styleId="39">
    <w:name w:val="三线表1"/>
    <w:basedOn w:val="23"/>
    <w:qFormat/>
    <w:uiPriority w:val="0"/>
    <w:pPr>
      <w:jc w:val="center"/>
    </w:pPr>
    <w:rPr>
      <w:rFonts w:ascii="Times New Roman" w:hAnsi="Times New Roman" w:eastAsia="宋体" w:cs="Times New Roman"/>
    </w:rPr>
    <w:tblPr>
      <w:tblBorders>
        <w:top w:val="single" w:color="auto" w:sz="12" w:space="0"/>
        <w:bottom w:val="single" w:color="auto" w:sz="12" w:space="0"/>
        <w:insideH w:val="single" w:color="auto" w:sz="4" w:space="0"/>
        <w:insideV w:val="single" w:color="auto" w:sz="4" w:space="0"/>
      </w:tblBorders>
    </w:tblPr>
    <w:tcPr>
      <w:vAlign w:val="center"/>
    </w:tcPr>
    <w:tblStylePr w:type="firstRow">
      <w:rPr>
        <w:rFonts w:eastAsia="宋体"/>
        <w:sz w:val="21"/>
      </w:rPr>
      <w:tcPr>
        <w:tcBorders>
          <w:bottom w:val="single" w:color="auto" w:sz="12" w:space="0"/>
        </w:tcBorders>
      </w:tcPr>
    </w:tblStylePr>
  </w:style>
  <w:style w:type="table" w:customStyle="1" w:styleId="40">
    <w:name w:val="清单表 1 浅色 - 着色 11"/>
    <w:basedOn w:val="23"/>
    <w:qFormat/>
    <w:uiPriority w:val="46"/>
    <w:tblStylePr w:type="firstRow">
      <w:rPr>
        <w:b/>
        <w:bCs/>
      </w:rPr>
      <w:tcPr>
        <w:tcBorders>
          <w:bottom w:val="single" w:color="9CC2E5" w:themeColor="accent1" w:themeTint="99" w:sz="4" w:space="0"/>
        </w:tcBorders>
      </w:tcPr>
    </w:tblStylePr>
    <w:tblStylePr w:type="lastRow">
      <w:rPr>
        <w:b/>
        <w:bCs/>
      </w:rPr>
      <w:tcPr>
        <w:tcBorders>
          <w:top w:val="sing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1">
    <w:name w:val="三线表"/>
    <w:basedOn w:val="23"/>
    <w:qFormat/>
    <w:uiPriority w:val="0"/>
    <w:pPr>
      <w:jc w:val="center"/>
    </w:pPr>
    <w:rPr>
      <w:rFonts w:ascii="Times New Roman" w:hAnsi="Times New Roman" w:eastAsia="宋体" w:cs="Times New Roman"/>
    </w:rPr>
    <w:tblPr>
      <w:tblBorders>
        <w:top w:val="single" w:color="auto" w:sz="12" w:space="0"/>
        <w:bottom w:val="single" w:color="auto" w:sz="12" w:space="0"/>
        <w:insideH w:val="single" w:color="auto" w:sz="4" w:space="0"/>
        <w:insideV w:val="single" w:color="auto" w:sz="4" w:space="0"/>
      </w:tblBorders>
    </w:tblPr>
    <w:tcPr>
      <w:vAlign w:val="center"/>
    </w:tcPr>
    <w:tblStylePr w:type="firstRow">
      <w:rPr>
        <w:rFonts w:eastAsia="宋体"/>
        <w:sz w:val="21"/>
      </w:rPr>
      <w:tcPr>
        <w:tcBorders>
          <w:bottom w:val="single" w:color="auto" w:sz="12" w:space="0"/>
        </w:tcBorders>
      </w:tcPr>
    </w:tblStylePr>
  </w:style>
  <w:style w:type="paragraph" w:styleId="42">
    <w:name w:val="List Paragraph"/>
    <w:basedOn w:val="1"/>
    <w:qFormat/>
    <w:uiPriority w:val="34"/>
    <w:pPr>
      <w:ind w:firstLine="420" w:firstLineChars="200"/>
    </w:pPr>
  </w:style>
  <w:style w:type="paragraph" w:customStyle="1" w:styleId="43">
    <w:name w:val="TOC 标题1"/>
    <w:basedOn w:val="2"/>
    <w:next w:val="1"/>
    <w:unhideWhenUsed/>
    <w:qFormat/>
    <w:uiPriority w:val="39"/>
    <w:pPr>
      <w:widowControl/>
      <w:numPr>
        <w:numId w:val="0"/>
      </w:numPr>
      <w:tabs>
        <w:tab w:val="clear" w:pos="0"/>
      </w:tabs>
      <w:spacing w:before="240" w:line="259" w:lineRule="auto"/>
      <w:jc w:val="left"/>
      <w:outlineLvl w:val="9"/>
    </w:pPr>
    <w:rPr>
      <w:rFonts w:asciiTheme="majorHAnsi" w:hAnsiTheme="majorHAnsi" w:eastAsiaTheme="majorEastAsia" w:cstheme="majorBidi"/>
      <w:b w:val="0"/>
      <w:bCs w:val="0"/>
      <w:color w:val="2E75B6" w:themeColor="accent1" w:themeShade="BF"/>
      <w:kern w:val="0"/>
      <w:szCs w:val="32"/>
    </w:rPr>
  </w:style>
  <w:style w:type="character" w:customStyle="1" w:styleId="44">
    <w:name w:val="批注框文本 Char"/>
    <w:basedOn w:val="25"/>
    <w:link w:val="15"/>
    <w:semiHidden/>
    <w:qFormat/>
    <w:uiPriority w:val="99"/>
    <w:rPr>
      <w:rFonts w:ascii="Times New Roman" w:hAnsi="Times New Roman" w:eastAsia="宋体" w:cs="Times New Roman"/>
      <w:sz w:val="18"/>
      <w:szCs w:val="18"/>
    </w:rPr>
  </w:style>
  <w:style w:type="character" w:customStyle="1" w:styleId="45">
    <w:name w:val="批注文字 Char"/>
    <w:basedOn w:val="25"/>
    <w:link w:val="12"/>
    <w:semiHidden/>
    <w:qFormat/>
    <w:uiPriority w:val="99"/>
    <w:rPr>
      <w:rFonts w:ascii="Times New Roman" w:hAnsi="Times New Roman" w:eastAsia="宋体" w:cs="Times New Roman"/>
      <w:szCs w:val="21"/>
    </w:rPr>
  </w:style>
  <w:style w:type="character" w:customStyle="1" w:styleId="46">
    <w:name w:val="批注主题 Char"/>
    <w:basedOn w:val="45"/>
    <w:link w:val="22"/>
    <w:semiHidden/>
    <w:uiPriority w:val="99"/>
    <w:rPr>
      <w:rFonts w:ascii="Times New Roman" w:hAnsi="Times New Roman" w:eastAsia="宋体" w:cs="Times New Roman"/>
      <w:b/>
      <w:bCs/>
      <w:szCs w:val="21"/>
    </w:rPr>
  </w:style>
  <w:style w:type="paragraph" w:customStyle="1" w:styleId="47">
    <w:name w:val="修订1"/>
    <w:hidden/>
    <w:semiHidden/>
    <w:uiPriority w:val="99"/>
    <w:rPr>
      <w:rFonts w:ascii="Times New Roman" w:hAnsi="Times New Roman" w:eastAsia="宋体" w:cs="Times New Roman"/>
      <w:kern w:val="2"/>
      <w:sz w:val="21"/>
      <w:szCs w:val="21"/>
      <w:lang w:val="en-US" w:eastAsia="zh-CN" w:bidi="ar-SA"/>
    </w:rPr>
  </w:style>
  <w:style w:type="table" w:customStyle="1" w:styleId="48">
    <w:name w:val="无格式表格 11"/>
    <w:basedOn w:val="23"/>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49">
    <w:name w:val="尾注文本 Char"/>
    <w:basedOn w:val="25"/>
    <w:link w:val="14"/>
    <w:semiHidden/>
    <w:qFormat/>
    <w:uiPriority w:val="99"/>
    <w:rPr>
      <w:rFonts w:ascii="Times New Roman" w:hAnsi="Times New Roman" w:eastAsia="宋体" w:cs="Times New Roman"/>
      <w:szCs w:val="21"/>
    </w:rPr>
  </w:style>
  <w:style w:type="character" w:customStyle="1" w:styleId="50">
    <w:name w:val="脚注文本 Char"/>
    <w:basedOn w:val="25"/>
    <w:link w:val="19"/>
    <w:semiHidden/>
    <w:qFormat/>
    <w:uiPriority w:val="99"/>
    <w:rPr>
      <w:rFonts w:ascii="Times New Roman" w:hAnsi="Times New Roman" w:eastAsia="宋体" w:cs="Times New Roman"/>
      <w:sz w:val="18"/>
      <w:szCs w:val="18"/>
    </w:rPr>
  </w:style>
  <w:style w:type="character" w:customStyle="1" w:styleId="51">
    <w:name w:val="标题 7 Char"/>
    <w:basedOn w:val="25"/>
    <w:link w:val="8"/>
    <w:semiHidden/>
    <w:qFormat/>
    <w:uiPriority w:val="9"/>
    <w:rPr>
      <w:rFonts w:eastAsia="仿宋_GB2312"/>
      <w:b/>
      <w:bCs/>
      <w:sz w:val="24"/>
      <w:szCs w:val="24"/>
    </w:rPr>
  </w:style>
  <w:style w:type="character" w:customStyle="1" w:styleId="52">
    <w:name w:val="标题 8 Char"/>
    <w:basedOn w:val="25"/>
    <w:link w:val="9"/>
    <w:semiHidden/>
    <w:qFormat/>
    <w:uiPriority w:val="9"/>
    <w:rPr>
      <w:rFonts w:asciiTheme="majorHAnsi" w:hAnsiTheme="majorHAnsi" w:eastAsiaTheme="majorEastAsia" w:cstheme="majorBidi"/>
      <w:sz w:val="24"/>
      <w:szCs w:val="24"/>
    </w:rPr>
  </w:style>
  <w:style w:type="character" w:customStyle="1" w:styleId="53">
    <w:name w:val="标题 9 Char"/>
    <w:basedOn w:val="25"/>
    <w:link w:val="10"/>
    <w:semiHidden/>
    <w:qFormat/>
    <w:uiPriority w:val="9"/>
    <w:rPr>
      <w:rFonts w:asciiTheme="majorHAnsi" w:hAnsiTheme="majorHAnsi" w:eastAsiaTheme="majorEastAsia" w:cstheme="majorBidi"/>
      <w:sz w:val="28"/>
      <w:szCs w:val="21"/>
    </w:rPr>
  </w:style>
  <w:style w:type="paragraph" w:customStyle="1" w:styleId="54">
    <w:name w:val="表格文字2"/>
    <w:basedOn w:val="1"/>
    <w:link w:val="55"/>
    <w:qFormat/>
    <w:uiPriority w:val="0"/>
    <w:pPr>
      <w:tabs>
        <w:tab w:val="left" w:pos="277"/>
        <w:tab w:val="left" w:pos="600"/>
        <w:tab w:val="left" w:pos="780"/>
        <w:tab w:val="left" w:pos="2517"/>
      </w:tabs>
      <w:adjustRightInd w:val="0"/>
      <w:spacing w:before="60"/>
      <w:textAlignment w:val="baseline"/>
    </w:pPr>
    <w:rPr>
      <w:rFonts w:cs="Times New Roman"/>
      <w:color w:val="000000" w:themeColor="text1"/>
      <w:kern w:val="0"/>
      <w:sz w:val="21"/>
      <w:szCs w:val="21"/>
      <w14:textFill>
        <w14:solidFill>
          <w14:schemeClr w14:val="tx1"/>
        </w14:solidFill>
      </w14:textFill>
    </w:rPr>
  </w:style>
  <w:style w:type="character" w:customStyle="1" w:styleId="55">
    <w:name w:val="表格文字2 Char"/>
    <w:basedOn w:val="25"/>
    <w:link w:val="54"/>
    <w:qFormat/>
    <w:uiPriority w:val="0"/>
    <w:rPr>
      <w:rFonts w:ascii="Times New Roman" w:hAnsi="Times New Roman" w:eastAsia="仿宋_GB2312" w:cs="Times New Roman"/>
      <w:color w:val="000000" w:themeColor="text1"/>
      <w:kern w:val="0"/>
      <w:szCs w:val="21"/>
      <w14:textFill>
        <w14:solidFill>
          <w14:schemeClr w14:val="tx1"/>
        </w14:solidFill>
      </w14:textFill>
    </w:rPr>
  </w:style>
  <w:style w:type="table" w:customStyle="1" w:styleId="56">
    <w:name w:val="三线表2"/>
    <w:basedOn w:val="23"/>
    <w:qFormat/>
    <w:uiPriority w:val="0"/>
    <w:pPr>
      <w:jc w:val="center"/>
    </w:pPr>
    <w:rPr>
      <w:rFonts w:ascii="Times New Roman" w:hAnsi="Times New Roman" w:eastAsia="宋体" w:cs="Times New Roman"/>
    </w:rPr>
    <w:tblPr>
      <w:tblBorders>
        <w:top w:val="single" w:color="auto" w:sz="12" w:space="0"/>
        <w:bottom w:val="single" w:color="auto" w:sz="12" w:space="0"/>
        <w:insideH w:val="single" w:color="auto" w:sz="4" w:space="0"/>
        <w:insideV w:val="single" w:color="auto" w:sz="4" w:space="0"/>
      </w:tblBorders>
    </w:tblPr>
    <w:tcPr>
      <w:vAlign w:val="center"/>
    </w:tcPr>
    <w:tblStylePr w:type="firstRow">
      <w:rPr>
        <w:rFonts w:eastAsia="宋体"/>
        <w:sz w:val="21"/>
      </w:rPr>
      <w:tcPr>
        <w:tcBorders>
          <w:bottom w:val="single" w:color="auto" w:sz="12" w:space="0"/>
        </w:tcBorders>
      </w:tcPr>
    </w:tblStylePr>
  </w:style>
  <w:style w:type="table" w:customStyle="1" w:styleId="57">
    <w:name w:val="三线表21"/>
    <w:basedOn w:val="23"/>
    <w:qFormat/>
    <w:uiPriority w:val="0"/>
    <w:pPr>
      <w:jc w:val="center"/>
    </w:pPr>
    <w:rPr>
      <w:rFonts w:ascii="Times New Roman" w:hAnsi="Times New Roman" w:eastAsia="宋体" w:cs="Times New Roman"/>
    </w:rPr>
    <w:tblPr>
      <w:tblBorders>
        <w:top w:val="single" w:color="auto" w:sz="12" w:space="0"/>
        <w:bottom w:val="single" w:color="auto" w:sz="12" w:space="0"/>
        <w:insideH w:val="single" w:color="auto" w:sz="4" w:space="0"/>
        <w:insideV w:val="single" w:color="auto" w:sz="4" w:space="0"/>
      </w:tblBorders>
    </w:tblPr>
    <w:tcPr>
      <w:vAlign w:val="center"/>
    </w:tcPr>
    <w:tblStylePr w:type="firstRow">
      <w:rPr>
        <w:rFonts w:eastAsia="宋体"/>
        <w:sz w:val="21"/>
      </w:rPr>
      <w:tcPr>
        <w:tcBorders>
          <w:bottom w:val="single" w:color="auto" w:sz="12" w:space="0"/>
        </w:tcBorders>
      </w:tcPr>
    </w:tblStyle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E457D3-FB10-469B-A703-DB4A4C9FBA5B}">
  <ds:schemaRefs/>
</ds:datastoreItem>
</file>

<file path=docProps/app.xml><?xml version="1.0" encoding="utf-8"?>
<Properties xmlns="http://schemas.openxmlformats.org/officeDocument/2006/extended-properties" xmlns:vt="http://schemas.openxmlformats.org/officeDocument/2006/docPropsVTypes">
  <Template>Normal</Template>
  <Pages>1</Pages>
  <Words>7008</Words>
  <Characters>39952</Characters>
  <Lines>332</Lines>
  <Paragraphs>93</Paragraphs>
  <TotalTime>6</TotalTime>
  <ScaleCrop>false</ScaleCrop>
  <LinksUpToDate>false</LinksUpToDate>
  <CharactersWithSpaces>46867</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2021-03-05T13:34:00Z</dcterms:created>
  <dc:creator>yuqinqin</dc:creator>
  <cp:lastModifiedBy>rxhky-bjb</cp:lastModifiedBy>
  <cp:lastPrinted>2021-03-07T09:38:00Z</cp:lastPrinted>
  <dcterms:modified xsi:type="dcterms:W3CDTF">2021-03-08T03:17:07Z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