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71" w:lineRule="auto"/>
        <w:ind w:left="0" w:leftChars="0" w:right="1754" w:firstLine="1100" w:firstLineChars="250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宁波市江北区人民政府</w:t>
      </w:r>
      <w:r>
        <w:rPr>
          <w:rFonts w:hint="eastAsia" w:ascii="方正小标宋简体" w:eastAsia="方正小标宋简体"/>
          <w:sz w:val="44"/>
          <w:lang w:eastAsia="zh-CN"/>
        </w:rPr>
        <w:t>办公室</w:t>
      </w:r>
    </w:p>
    <w:p>
      <w:pPr>
        <w:tabs>
          <w:tab w:val="left" w:pos="7920"/>
        </w:tabs>
        <w:spacing w:before="57" w:line="271" w:lineRule="auto"/>
        <w:ind w:left="1557" w:leftChars="0" w:right="1190" w:rightChars="0" w:hanging="17" w:firstLineChars="0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</w:t>
      </w:r>
      <w:r>
        <w:rPr>
          <w:rFonts w:hint="eastAsia" w:ascii="方正小标宋简体" w:eastAsia="方正小标宋简体"/>
          <w:sz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</w:rPr>
        <w:t>年政务公开工作年度报告</w:t>
      </w:r>
    </w:p>
    <w:p>
      <w:pPr>
        <w:pStyle w:val="2"/>
        <w:spacing w:before="188" w:line="338" w:lineRule="auto"/>
        <w:ind w:right="300" w:firstLine="639"/>
        <w:jc w:val="both"/>
        <w:rPr>
          <w:spacing w:val="2"/>
        </w:rPr>
      </w:pPr>
      <w:r>
        <w:rPr>
          <w:spacing w:val="-6"/>
        </w:rPr>
        <w:t>本年度报告根据《中华人民共和国政府信息公开条例</w:t>
      </w:r>
      <w:r>
        <w:rPr>
          <w:spacing w:val="-196"/>
        </w:rPr>
        <w:t>》</w:t>
      </w:r>
      <w:r>
        <w:t>（以</w:t>
      </w:r>
      <w:r>
        <w:rPr>
          <w:spacing w:val="-32"/>
        </w:rPr>
        <w:t>下简称《条例》</w:t>
      </w:r>
      <w:r>
        <w:rPr>
          <w:spacing w:val="-46"/>
        </w:rPr>
        <w:t>）</w:t>
      </w:r>
      <w:r>
        <w:rPr>
          <w:spacing w:val="-7"/>
        </w:rPr>
        <w:t>和《宁波市政府信息公开规定</w:t>
      </w:r>
      <w:r>
        <w:rPr>
          <w:spacing w:val="-207"/>
        </w:rPr>
        <w:t>》</w:t>
      </w:r>
      <w:r>
        <w:t>（</w:t>
      </w:r>
      <w:r>
        <w:rPr>
          <w:spacing w:val="-9"/>
        </w:rPr>
        <w:t>以下简称《规</w:t>
      </w:r>
      <w:r>
        <w:rPr>
          <w:spacing w:val="-85"/>
        </w:rPr>
        <w:t>定》</w:t>
      </w:r>
      <w:r>
        <w:t>）</w:t>
      </w:r>
      <w:r>
        <w:rPr>
          <w:spacing w:val="-8"/>
        </w:rPr>
        <w:t>要求，按照</w:t>
      </w:r>
      <w:r>
        <w:rPr>
          <w:rFonts w:hint="eastAsia"/>
          <w:spacing w:val="-8"/>
          <w:lang w:val="en-US" w:eastAsia="zh-CN"/>
        </w:rPr>
        <w:t>2020</w:t>
      </w:r>
      <w:r>
        <w:rPr>
          <w:spacing w:val="-7"/>
        </w:rPr>
        <w:t>年宁波市江北区人民政府办公室政府信</w:t>
      </w:r>
      <w:r>
        <w:rPr>
          <w:spacing w:val="2"/>
        </w:rPr>
        <w:t>息公开工作编制而成。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</w:t>
      </w:r>
      <w:r>
        <w:rPr>
          <w:rFonts w:hint="eastAsia"/>
          <w:spacing w:val="2"/>
          <w:lang w:val="en-US" w:eastAsia="zh-CN"/>
        </w:rPr>
        <w:t>2020</w:t>
      </w:r>
      <w:r>
        <w:rPr>
          <w:spacing w:val="2"/>
        </w:rPr>
        <w:t>年1月1日到12月31日止。本年度报告的电子版可以从“宁波</w:t>
      </w:r>
      <w:r>
        <w:rPr>
          <w:rFonts w:hint="eastAsia"/>
          <w:spacing w:val="2"/>
        </w:rPr>
        <w:t>･</w:t>
      </w:r>
      <w:r>
        <w:rPr>
          <w:spacing w:val="2"/>
        </w:rPr>
        <w:t>江北”政府门户网站（</w:t>
      </w:r>
      <w:r>
        <w:rPr>
          <w:spacing w:val="2"/>
        </w:rPr>
        <w:fldChar w:fldCharType="begin"/>
      </w:r>
      <w:r>
        <w:rPr>
          <w:spacing w:val="2"/>
        </w:rPr>
        <w:instrText xml:space="preserve"> HYPERLINK "http://www.nbjb.gov.cn/" \h </w:instrText>
      </w:r>
      <w:r>
        <w:rPr>
          <w:spacing w:val="2"/>
        </w:rPr>
        <w:fldChar w:fldCharType="separate"/>
      </w:r>
      <w:r>
        <w:rPr>
          <w:spacing w:val="2"/>
        </w:rPr>
        <w:t>http://www.nbjb.gov.cn/</w:t>
      </w:r>
      <w:r>
        <w:rPr>
          <w:spacing w:val="2"/>
        </w:rPr>
        <w:fldChar w:fldCharType="end"/>
      </w:r>
      <w:r>
        <w:rPr>
          <w:spacing w:val="2"/>
        </w:rPr>
        <w:t>）政务公开专栏下载。</w:t>
      </w:r>
    </w:p>
    <w:p>
      <w:pPr>
        <w:pStyle w:val="2"/>
        <w:spacing w:before="104"/>
        <w:ind w:left="911"/>
        <w:rPr>
          <w:rFonts w:hint="eastAsia" w:ascii="黑体" w:eastAsia="黑体"/>
        </w:rPr>
      </w:pPr>
      <w:r>
        <w:rPr>
          <w:rFonts w:hint="eastAsia" w:ascii="黑体" w:eastAsia="黑体"/>
        </w:rPr>
        <w:t>一、总体情况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以来，江北区认真贯彻落实《中华人民共和国政府信息公开条例》，按照《条例》以及省、市相关要求，严格落实政务公开的各项内容，坚持“公开为常态，不公开为例外”，准确、公开、透明发布政府信息，及时回应关切，不断提高公开质量和实效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（一）主动公开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全领域推进政务公开标准目录编制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在2017-2018年10个领域试点的基础上，对照国务院各部门制定的26个试点领域标准指引，结合本级政府权责清单和公共服务事项清单，全面梳理细化相关领域政务公开事项，邀请市级部门和标准化领域专家进行指导，最大程度做到基层政府公开事项、内容、依据、时限、主体、方式、渠道、对象等公开要素统一标准，切实做到以公开促工作规范、促工作落实、促为民服务。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强化政务新媒体管理运营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研究起草《江北区政务新媒体管理办法（试行）》，建立区政府办公室牵头抓总，宣传、网信、大数据、融媒体中心等部门协作联动，各单位共同参与的工作机制，推进各政务新媒体主办单位切实履行政务新媒体的规划建设、组织保障、健康发展、安全管理等职责。同时，强化内容的更新维护，组织开展新媒体监督监测排名，每季度发布全区政务新媒体分析报告，对全区近80家政务新媒体进行实时监测。2020年5月，江北政务公开微信公众号——“阳光江北”正式上线。2020年12月，政务新媒体全部纳入省政务新媒体平台检测，并于年底组织开展操作实务专题培训，实时答疑解惑，确保政务新媒体运行纳入全省统一平台监测。</w:t>
      </w:r>
    </w:p>
    <w:p>
      <w:pPr>
        <w:numPr>
          <w:ilvl w:val="0"/>
          <w:numId w:val="0"/>
        </w:numPr>
        <w:spacing w:line="580" w:lineRule="exact"/>
        <w:ind w:leftChars="200" w:right="0" w:rightChars="0"/>
        <w:contextualSpacing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（二）依申请公开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完善政府信息公开机制，强化依申请公开件答复告知审核把关，优化依申请公开内部审核流程。</w:t>
      </w:r>
      <w:r>
        <w:rPr>
          <w:rFonts w:hint="eastAsia" w:ascii="仿宋_GB2312" w:eastAsia="仿宋_GB2312"/>
          <w:sz w:val="32"/>
          <w:szCs w:val="32"/>
          <w:lang w:eastAsia="zh-CN"/>
        </w:rPr>
        <w:t>全年共收到依申请公开件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26件，结转下年度办理1件，全年按期办理率100%。</w:t>
      </w:r>
    </w:p>
    <w:p>
      <w:pPr>
        <w:numPr>
          <w:ilvl w:val="0"/>
          <w:numId w:val="0"/>
        </w:numPr>
        <w:spacing w:line="580" w:lineRule="exact"/>
        <w:ind w:leftChars="200" w:right="0" w:rightChars="0"/>
        <w:contextualSpacing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（三）政府信息管理</w:t>
      </w:r>
    </w:p>
    <w:p>
      <w:pPr>
        <w:spacing w:line="580" w:lineRule="exact"/>
        <w:ind w:firstLine="640" w:firstLineChars="200"/>
        <w:contextualSpacing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统一设置“政府信息公开指南”“政府信息公开制度”“法定主动公开内容”“政府信息公开工作年度报告”等栏目，开设基层政务公开标准化规范化工作、疫情防控工作、“六稳六保”专栏以及江北区个人和企业“一件事”标准化政务服务专窗，做好防范化解重大风险、脱贫攻坚、污染防治三大攻坚战以及财政、重点民生、重大项目建设与实施、公共资源配置、社会公益事业建设等领域信息公开，督促各责任部门常态化做好信息发布工作</w:t>
      </w:r>
    </w:p>
    <w:p>
      <w:pPr>
        <w:numPr>
          <w:ilvl w:val="0"/>
          <w:numId w:val="0"/>
        </w:numPr>
        <w:spacing w:line="580" w:lineRule="exact"/>
        <w:ind w:leftChars="200" w:right="0" w:rightChars="0"/>
        <w:contextualSpacing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（四）平台建设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高质量完成政务公开网站改版升级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充分发挥政府网站作为政府信息公开第一平台载体作用，对政务公开网站进行全面改版升级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高标准推进政府信息公开专区建设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率先启动政务公开专区建设，在区政务服务大厅、街道（乡镇）办事大厅、图书馆、主要行政村等人流密集场所设立标识清楚的“政务公开专栏”，将政府信息查阅电子触摸屏、数字电视、社保卡自助办理机、电脑打印机、意见箱、信息阅览架、查阅须知等要素集成整合，为群众提供政府信息查询、信息公开申请、办事咨询答复等服务，解决政府信息公开“最后一公里”问题。</w:t>
      </w:r>
    </w:p>
    <w:p>
      <w:pPr>
        <w:numPr>
          <w:ilvl w:val="0"/>
          <w:numId w:val="1"/>
        </w:numPr>
        <w:spacing w:line="580" w:lineRule="exact"/>
        <w:ind w:firstLine="640" w:firstLineChars="200"/>
        <w:contextualSpacing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监督保障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楷体_GB2312" w:eastAsia="楷体_GB2312"/>
          <w:sz w:val="32"/>
          <w:szCs w:val="32"/>
        </w:rPr>
        <w:t>举办政府开放日活动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邀请党代表、人大代表、政协委员、居民代表、企业代表、媒体代表等公众代表列席政府常务会议，就重要改革方案、重大政策措施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及重大民生事项等事项进行讨论，列席和决策事项审议情况向社会公开。部分公众代表还应邀参观了江北区矛盾纠纷调处化解中心、江北区行政服务中心办事大厅，详细了解了办事大厅日常运行情况，并围绕“阳光政务 你我同行”这一主题作了深入交流。</w:t>
      </w:r>
    </w:p>
    <w:p>
      <w:pPr>
        <w:pStyle w:val="2"/>
        <w:spacing w:before="3" w:after="27"/>
        <w:ind w:left="911"/>
        <w:rPr>
          <w:rFonts w:hint="eastAsia" w:ascii="黑体" w:eastAsia="黑体"/>
        </w:rPr>
      </w:pPr>
      <w:r>
        <w:rPr>
          <w:rFonts w:hint="eastAsia" w:ascii="黑体" w:eastAsia="黑体"/>
          <w:color w:val="323232"/>
        </w:rPr>
        <w:t>二、主动公开政府信息情况</w:t>
      </w:r>
    </w:p>
    <w:tbl>
      <w:tblPr>
        <w:tblStyle w:val="3"/>
        <w:tblW w:w="0" w:type="auto"/>
        <w:tblInd w:w="5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80"/>
        <w:gridCol w:w="1267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30"/>
              <w:ind w:left="3149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113" w:type="dxa"/>
          </w:tcPr>
          <w:p>
            <w:pPr>
              <w:pStyle w:val="7"/>
              <w:spacing w:before="5"/>
              <w:rPr>
                <w:rFonts w:ascii="黑体"/>
                <w:sz w:val="17"/>
                <w:highlight w:val="none"/>
              </w:rPr>
            </w:pPr>
          </w:p>
          <w:p>
            <w:pPr>
              <w:pStyle w:val="7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67" w:line="292" w:lineRule="auto"/>
              <w:ind w:left="535" w:right="520" w:firstLine="9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本年新制作数量</w:t>
            </w:r>
          </w:p>
        </w:tc>
        <w:tc>
          <w:tcPr>
            <w:tcW w:w="1267" w:type="dxa"/>
          </w:tcPr>
          <w:p>
            <w:pPr>
              <w:pStyle w:val="7"/>
              <w:spacing w:before="67" w:line="292" w:lineRule="auto"/>
              <w:ind w:left="228" w:right="214" w:firstLine="100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本年新公开数量</w:t>
            </w:r>
          </w:p>
        </w:tc>
        <w:tc>
          <w:tcPr>
            <w:tcW w:w="1881" w:type="dxa"/>
          </w:tcPr>
          <w:p>
            <w:pPr>
              <w:pStyle w:val="7"/>
              <w:spacing w:before="5"/>
              <w:rPr>
                <w:rFonts w:ascii="黑体"/>
                <w:sz w:val="17"/>
                <w:highlight w:val="none"/>
              </w:rPr>
            </w:pPr>
          </w:p>
          <w:p>
            <w:pPr>
              <w:pStyle w:val="7"/>
              <w:ind w:left="238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</w:tcPr>
          <w:p>
            <w:pPr>
              <w:pStyle w:val="7"/>
              <w:spacing w:before="43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规章</w:t>
            </w:r>
          </w:p>
        </w:tc>
        <w:tc>
          <w:tcPr>
            <w:tcW w:w="1880" w:type="dxa"/>
          </w:tcPr>
          <w:p>
            <w:pPr>
              <w:pStyle w:val="7"/>
              <w:spacing w:before="43"/>
              <w:jc w:val="center"/>
              <w:rPr>
                <w:sz w:val="20"/>
                <w:highlight w:val="none"/>
              </w:rPr>
            </w:pPr>
            <w:r>
              <w:rPr>
                <w:w w:val="100"/>
                <w:sz w:val="20"/>
                <w:highlight w:val="none"/>
              </w:rPr>
              <w:t>0</w:t>
            </w:r>
          </w:p>
        </w:tc>
        <w:tc>
          <w:tcPr>
            <w:tcW w:w="1267" w:type="dxa"/>
          </w:tcPr>
          <w:p>
            <w:pPr>
              <w:pStyle w:val="7"/>
              <w:spacing w:before="43"/>
              <w:jc w:val="center"/>
              <w:rPr>
                <w:sz w:val="20"/>
                <w:highlight w:val="none"/>
              </w:rPr>
            </w:pPr>
            <w:r>
              <w:rPr>
                <w:w w:val="100"/>
                <w:sz w:val="20"/>
                <w:highlight w:val="none"/>
              </w:rPr>
              <w:t>0</w:t>
            </w:r>
          </w:p>
        </w:tc>
        <w:tc>
          <w:tcPr>
            <w:tcW w:w="1881" w:type="dxa"/>
          </w:tcPr>
          <w:p>
            <w:pPr>
              <w:pStyle w:val="7"/>
              <w:spacing w:before="43"/>
              <w:jc w:val="center"/>
              <w:rPr>
                <w:rFonts w:hint="eastAsia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规范性文件</w:t>
            </w:r>
          </w:p>
        </w:tc>
        <w:tc>
          <w:tcPr>
            <w:tcW w:w="1880" w:type="dxa"/>
          </w:tcPr>
          <w:p>
            <w:pPr>
              <w:pStyle w:val="7"/>
              <w:spacing w:before="28"/>
              <w:jc w:val="center"/>
              <w:rPr>
                <w:rFonts w:hint="eastAsia" w:eastAsia="宋体"/>
                <w:sz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6</w:t>
            </w:r>
          </w:p>
        </w:tc>
        <w:tc>
          <w:tcPr>
            <w:tcW w:w="1267" w:type="dxa"/>
          </w:tcPr>
          <w:p>
            <w:pPr>
              <w:pStyle w:val="7"/>
              <w:spacing w:before="28"/>
              <w:jc w:val="center"/>
              <w:rPr>
                <w:rFonts w:hint="eastAsia" w:eastAsia="宋体"/>
                <w:sz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6</w:t>
            </w:r>
          </w:p>
        </w:tc>
        <w:tc>
          <w:tcPr>
            <w:tcW w:w="1881" w:type="dxa"/>
          </w:tcPr>
          <w:p>
            <w:pPr>
              <w:pStyle w:val="7"/>
              <w:spacing w:before="28"/>
              <w:jc w:val="center"/>
              <w:rPr>
                <w:rFonts w:hint="default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</w:tcPr>
          <w:p>
            <w:pPr>
              <w:pStyle w:val="7"/>
              <w:spacing w:before="99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99"/>
              <w:ind w:right="221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上一年项目数量</w:t>
            </w:r>
          </w:p>
        </w:tc>
        <w:tc>
          <w:tcPr>
            <w:tcW w:w="1267" w:type="dxa"/>
          </w:tcPr>
          <w:p>
            <w:pPr>
              <w:pStyle w:val="7"/>
              <w:spacing w:before="99"/>
              <w:ind w:right="163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7"/>
              <w:spacing w:before="99"/>
              <w:ind w:left="33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</w:tcPr>
          <w:p>
            <w:pPr>
              <w:pStyle w:val="7"/>
              <w:spacing w:before="46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行政许可</w:t>
            </w:r>
          </w:p>
        </w:tc>
        <w:tc>
          <w:tcPr>
            <w:tcW w:w="1880" w:type="dxa"/>
          </w:tcPr>
          <w:p>
            <w:pPr>
              <w:pStyle w:val="7"/>
              <w:spacing w:before="46"/>
              <w:ind w:left="107"/>
              <w:jc w:val="center"/>
              <w:rPr>
                <w:rFonts w:hint="eastAsia" w:eastAsia="宋体"/>
                <w:sz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1267" w:type="dxa"/>
          </w:tcPr>
          <w:p>
            <w:pPr>
              <w:pStyle w:val="7"/>
              <w:spacing w:before="46"/>
              <w:ind w:left="108"/>
              <w:jc w:val="center"/>
              <w:rPr>
                <w:rFonts w:hint="eastAsia" w:eastAsia="宋体"/>
                <w:sz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7"/>
              <w:spacing w:before="46"/>
              <w:ind w:left="106"/>
              <w:jc w:val="center"/>
              <w:rPr>
                <w:rFonts w:hint="eastAsia" w:eastAsia="宋体"/>
                <w:sz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</w:tcPr>
          <w:p>
            <w:pPr>
              <w:pStyle w:val="7"/>
              <w:spacing w:before="57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其他对外管理服务事项</w:t>
            </w:r>
          </w:p>
        </w:tc>
        <w:tc>
          <w:tcPr>
            <w:tcW w:w="1880" w:type="dxa"/>
          </w:tcPr>
          <w:p>
            <w:pPr>
              <w:pStyle w:val="7"/>
              <w:spacing w:before="35"/>
              <w:ind w:left="107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  <w:tc>
          <w:tcPr>
            <w:tcW w:w="1267" w:type="dxa"/>
          </w:tcPr>
          <w:p>
            <w:pPr>
              <w:pStyle w:val="7"/>
              <w:spacing w:before="35"/>
              <w:ind w:left="108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7"/>
              <w:spacing w:before="35"/>
              <w:ind w:left="106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</w:tcPr>
          <w:p>
            <w:pPr>
              <w:pStyle w:val="7"/>
              <w:spacing w:before="99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99"/>
              <w:ind w:right="221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上一年项目数量</w:t>
            </w:r>
          </w:p>
        </w:tc>
        <w:tc>
          <w:tcPr>
            <w:tcW w:w="1267" w:type="dxa"/>
          </w:tcPr>
          <w:p>
            <w:pPr>
              <w:pStyle w:val="7"/>
              <w:spacing w:before="99"/>
              <w:ind w:right="163"/>
              <w:jc w:val="righ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7"/>
              <w:spacing w:before="99"/>
              <w:ind w:left="33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行政处罚</w:t>
            </w:r>
          </w:p>
        </w:tc>
        <w:tc>
          <w:tcPr>
            <w:tcW w:w="1880" w:type="dxa"/>
          </w:tcPr>
          <w:p>
            <w:pPr>
              <w:pStyle w:val="7"/>
              <w:spacing w:before="35"/>
              <w:ind w:left="107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  <w:tc>
          <w:tcPr>
            <w:tcW w:w="1267" w:type="dxa"/>
          </w:tcPr>
          <w:p>
            <w:pPr>
              <w:pStyle w:val="7"/>
              <w:spacing w:before="35"/>
              <w:ind w:left="108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7"/>
              <w:spacing w:before="35"/>
              <w:ind w:left="106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行政强制</w:t>
            </w:r>
          </w:p>
        </w:tc>
        <w:tc>
          <w:tcPr>
            <w:tcW w:w="1880" w:type="dxa"/>
          </w:tcPr>
          <w:p>
            <w:pPr>
              <w:pStyle w:val="7"/>
              <w:spacing w:before="35"/>
              <w:ind w:left="107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  <w:tc>
          <w:tcPr>
            <w:tcW w:w="1267" w:type="dxa"/>
          </w:tcPr>
          <w:p>
            <w:pPr>
              <w:pStyle w:val="7"/>
              <w:spacing w:before="35"/>
              <w:ind w:left="108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7"/>
              <w:spacing w:before="35"/>
              <w:ind w:left="107"/>
              <w:jc w:val="center"/>
              <w:rPr>
                <w:rFonts w:ascii="Times New Roman"/>
                <w:sz w:val="21"/>
                <w:highlight w:val="none"/>
              </w:rPr>
            </w:pPr>
            <w:r>
              <w:rPr>
                <w:rFonts w:ascii="Times New Roman"/>
                <w:sz w:val="21"/>
                <w:highlight w:val="none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113" w:type="dxa"/>
          </w:tcPr>
          <w:p>
            <w:pPr>
              <w:pStyle w:val="7"/>
              <w:spacing w:before="28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上一年项目数量</w:t>
            </w:r>
          </w:p>
        </w:tc>
        <w:tc>
          <w:tcPr>
            <w:tcW w:w="3148" w:type="dxa"/>
            <w:gridSpan w:val="2"/>
          </w:tcPr>
          <w:p>
            <w:pPr>
              <w:pStyle w:val="7"/>
              <w:spacing w:before="28"/>
              <w:ind w:left="1053" w:right="1034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</w:tcPr>
          <w:p>
            <w:pPr>
              <w:pStyle w:val="7"/>
              <w:spacing w:before="57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行政事业性收费</w:t>
            </w:r>
          </w:p>
        </w:tc>
        <w:tc>
          <w:tcPr>
            <w:tcW w:w="1880" w:type="dxa"/>
          </w:tcPr>
          <w:p>
            <w:pPr>
              <w:pStyle w:val="7"/>
              <w:spacing w:before="35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  <w:tc>
          <w:tcPr>
            <w:tcW w:w="3148" w:type="dxa"/>
            <w:gridSpan w:val="2"/>
          </w:tcPr>
          <w:p>
            <w:pPr>
              <w:pStyle w:val="7"/>
              <w:spacing w:before="35"/>
              <w:jc w:val="center"/>
              <w:rPr>
                <w:rFonts w:hint="eastAsia" w:ascii="Times New Roman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141" w:type="dxa"/>
            <w:gridSpan w:val="4"/>
            <w:shd w:val="clear" w:color="auto" w:fill="C6D9F1"/>
          </w:tcPr>
          <w:p>
            <w:pPr>
              <w:pStyle w:val="7"/>
              <w:spacing w:before="28"/>
              <w:ind w:left="3149" w:right="313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113" w:type="dxa"/>
          </w:tcPr>
          <w:p>
            <w:pPr>
              <w:pStyle w:val="7"/>
              <w:spacing w:before="74"/>
              <w:ind w:left="1136" w:right="1117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7"/>
              <w:spacing w:before="74"/>
              <w:ind w:left="340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采购项目数量</w:t>
            </w:r>
          </w:p>
        </w:tc>
        <w:tc>
          <w:tcPr>
            <w:tcW w:w="3148" w:type="dxa"/>
            <w:gridSpan w:val="2"/>
          </w:tcPr>
          <w:p>
            <w:pPr>
              <w:pStyle w:val="7"/>
              <w:spacing w:before="74"/>
              <w:ind w:left="1054" w:right="1034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</w:tcPr>
          <w:p>
            <w:pPr>
              <w:pStyle w:val="7"/>
              <w:spacing w:before="51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政府集中采购</w:t>
            </w:r>
          </w:p>
        </w:tc>
        <w:tc>
          <w:tcPr>
            <w:tcW w:w="1880" w:type="dxa"/>
          </w:tcPr>
          <w:p>
            <w:pPr>
              <w:pStyle w:val="7"/>
              <w:spacing w:before="150"/>
              <w:ind w:right="780"/>
              <w:jc w:val="center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3148" w:type="dxa"/>
            <w:gridSpan w:val="2"/>
          </w:tcPr>
          <w:p>
            <w:pPr>
              <w:pStyle w:val="7"/>
              <w:spacing w:before="150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spacing w:before="106"/>
        <w:ind w:left="927"/>
        <w:rPr>
          <w:rFonts w:hint="eastAsia" w:ascii="黑体" w:eastAsia="黑体"/>
        </w:rPr>
      </w:pPr>
      <w:r>
        <w:rPr>
          <w:rFonts w:hint="eastAsia" w:ascii="黑体" w:eastAsia="黑体"/>
          <w:color w:val="323232"/>
        </w:rPr>
        <w:t>三、收到和处理政府信息公开申请情况</w:t>
      </w:r>
    </w:p>
    <w:p>
      <w:pPr>
        <w:pStyle w:val="2"/>
        <w:spacing w:before="5"/>
        <w:ind w:left="0"/>
        <w:rPr>
          <w:rFonts w:ascii="黑体"/>
          <w:sz w:val="8"/>
        </w:r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53"/>
        <w:gridCol w:w="2087"/>
        <w:gridCol w:w="813"/>
        <w:gridCol w:w="1"/>
        <w:gridCol w:w="755"/>
        <w:gridCol w:w="755"/>
        <w:gridCol w:w="815"/>
        <w:gridCol w:w="973"/>
        <w:gridCol w:w="711"/>
        <w:gridCol w:w="2"/>
        <w:gridCol w:w="686"/>
        <w:gridCol w:w="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492" w:hRule="atLeast"/>
        </w:trPr>
        <w:tc>
          <w:tcPr>
            <w:tcW w:w="3559" w:type="dxa"/>
            <w:gridSpan w:val="3"/>
            <w:vMerge w:val="restart"/>
            <w:vAlign w:val="center"/>
          </w:tcPr>
          <w:p>
            <w:pPr>
              <w:pStyle w:val="7"/>
              <w:spacing w:before="28" w:line="292" w:lineRule="auto"/>
              <w:ind w:left="107" w:right="28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5511" w:type="dxa"/>
            <w:gridSpan w:val="9"/>
          </w:tcPr>
          <w:p>
            <w:pPr>
              <w:pStyle w:val="7"/>
              <w:spacing w:before="28"/>
              <w:ind w:left="2236" w:right="2215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492" w:hRule="atLeast"/>
        </w:trPr>
        <w:tc>
          <w:tcPr>
            <w:tcW w:w="3559" w:type="dxa"/>
            <w:gridSpan w:val="3"/>
            <w:vMerge w:val="continue"/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7"/>
              <w:spacing w:before="108"/>
              <w:ind w:left="206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自然</w:t>
            </w:r>
          </w:p>
          <w:p>
            <w:pPr>
              <w:pStyle w:val="7"/>
              <w:spacing w:before="28"/>
              <w:ind w:left="18"/>
              <w:jc w:val="center"/>
              <w:rPr>
                <w:sz w:val="20"/>
                <w:highlight w:val="none"/>
              </w:rPr>
            </w:pPr>
            <w:r>
              <w:rPr>
                <w:w w:val="100"/>
                <w:sz w:val="20"/>
                <w:highlight w:val="none"/>
              </w:rPr>
              <w:t>人</w:t>
            </w:r>
          </w:p>
        </w:tc>
        <w:tc>
          <w:tcPr>
            <w:tcW w:w="4010" w:type="dxa"/>
            <w:gridSpan w:val="6"/>
          </w:tcPr>
          <w:p>
            <w:pPr>
              <w:pStyle w:val="7"/>
              <w:spacing w:before="28"/>
              <w:ind w:left="1304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法人或其他组织</w:t>
            </w:r>
          </w:p>
        </w:tc>
        <w:tc>
          <w:tcPr>
            <w:tcW w:w="688" w:type="dxa"/>
            <w:gridSpan w:val="2"/>
          </w:tcPr>
          <w:p>
            <w:pPr>
              <w:pStyle w:val="7"/>
              <w:spacing w:before="28"/>
              <w:ind w:left="144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3559" w:type="dxa"/>
            <w:gridSpan w:val="3"/>
            <w:vMerge w:val="continue"/>
          </w:tcPr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814" w:type="dxa"/>
            <w:gridSpan w:val="2"/>
          </w:tcPr>
          <w:p>
            <w:pPr>
              <w:pStyle w:val="7"/>
              <w:spacing w:before="28"/>
              <w:ind w:left="18"/>
              <w:jc w:val="center"/>
              <w:rPr>
                <w:sz w:val="20"/>
                <w:highlight w:val="none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  <w:highlight w:val="none"/>
              </w:rPr>
            </w:pPr>
          </w:p>
          <w:p>
            <w:pPr>
              <w:pStyle w:val="7"/>
              <w:spacing w:before="1" w:line="290" w:lineRule="auto"/>
              <w:ind w:left="175" w:right="155" w:firstLine="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商业企业</w:t>
            </w: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  <w:highlight w:val="none"/>
              </w:rPr>
            </w:pPr>
          </w:p>
          <w:p>
            <w:pPr>
              <w:pStyle w:val="7"/>
              <w:spacing w:before="1" w:line="290" w:lineRule="auto"/>
              <w:ind w:left="175" w:right="155" w:firstLine="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科研机构</w:t>
            </w:r>
          </w:p>
        </w:tc>
        <w:tc>
          <w:tcPr>
            <w:tcW w:w="815" w:type="dxa"/>
          </w:tcPr>
          <w:p>
            <w:pPr>
              <w:pStyle w:val="7"/>
              <w:spacing w:before="28" w:line="292" w:lineRule="auto"/>
              <w:ind w:left="205" w:right="186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社会公益组织</w:t>
            </w:r>
          </w:p>
        </w:tc>
        <w:tc>
          <w:tcPr>
            <w:tcW w:w="973" w:type="dxa"/>
          </w:tcPr>
          <w:p>
            <w:pPr>
              <w:pStyle w:val="7"/>
              <w:rPr>
                <w:rFonts w:ascii="Times New Roman"/>
                <w:sz w:val="16"/>
                <w:highlight w:val="none"/>
              </w:rPr>
            </w:pPr>
          </w:p>
          <w:p>
            <w:pPr>
              <w:pStyle w:val="7"/>
              <w:spacing w:before="1" w:line="290" w:lineRule="auto"/>
              <w:ind w:left="184" w:right="163" w:firstLine="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法律服务机构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sz w:val="29"/>
                <w:highlight w:val="none"/>
              </w:rPr>
            </w:pPr>
          </w:p>
          <w:p>
            <w:pPr>
              <w:pStyle w:val="7"/>
              <w:ind w:left="153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59" w:type="dxa"/>
            <w:gridSpan w:val="3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一、本年新收政府信息公开申请数量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default" w:ascii="Calibri" w:eastAsia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26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default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559" w:type="dxa"/>
            <w:gridSpan w:val="3"/>
          </w:tcPr>
          <w:p>
            <w:pPr>
              <w:pStyle w:val="7"/>
              <w:spacing w:before="28"/>
              <w:ind w:left="107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二、上年结转政府信息公开申请数量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9" w:type="dxa"/>
            <w:vMerge w:val="restart"/>
          </w:tcPr>
          <w:p>
            <w:pPr>
              <w:pStyle w:val="7"/>
              <w:spacing w:before="28" w:line="292" w:lineRule="auto"/>
              <w:ind w:left="108" w:right="87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三、本年度办理结果</w:t>
            </w:r>
          </w:p>
        </w:tc>
        <w:tc>
          <w:tcPr>
            <w:tcW w:w="2940" w:type="dxa"/>
            <w:gridSpan w:val="2"/>
          </w:tcPr>
          <w:p>
            <w:pPr>
              <w:pStyle w:val="7"/>
              <w:spacing w:before="28"/>
              <w:ind w:left="107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（一）予以公开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940" w:type="dxa"/>
            <w:gridSpan w:val="2"/>
          </w:tcPr>
          <w:p>
            <w:pPr>
              <w:pStyle w:val="7"/>
              <w:spacing w:before="28" w:line="292" w:lineRule="auto"/>
              <w:ind w:left="107" w:right="9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（二）部分公开（区分处理的， 只计这一情形，不计其他情形）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  <w:vAlign w:val="center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  <w:vAlign w:val="center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  <w:vAlign w:val="center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</w:p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restart"/>
          </w:tcPr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  <w:highlight w:val="none"/>
              </w:rPr>
            </w:pPr>
          </w:p>
          <w:p>
            <w:pPr>
              <w:pStyle w:val="7"/>
              <w:spacing w:before="1" w:line="292" w:lineRule="auto"/>
              <w:ind w:left="107" w:right="123"/>
              <w:jc w:val="both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（三） 不予公开</w:t>
            </w:r>
          </w:p>
        </w:tc>
        <w:tc>
          <w:tcPr>
            <w:tcW w:w="2087" w:type="dxa"/>
          </w:tcPr>
          <w:p>
            <w:pPr>
              <w:pStyle w:val="7"/>
              <w:spacing w:before="28"/>
              <w:ind w:left="108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1.属于国家秘密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2.其他法律行政法规禁止公开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hAnsi="楷体" w:eastAsia="楷体"/>
                <w:sz w:val="20"/>
                <w:highlight w:val="none"/>
              </w:rPr>
            </w:pPr>
            <w:r>
              <w:rPr>
                <w:rFonts w:hint="eastAsia" w:ascii="楷体" w:hAnsi="楷体" w:eastAsia="楷体"/>
                <w:sz w:val="20"/>
                <w:highlight w:val="none"/>
              </w:rPr>
              <w:t>3.危及“三安全一稳定”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4.保护第三方合法权益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5.属于三类内部事务信息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6.属于四类过程性信息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/>
              <w:ind w:left="108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7.属于行政执法案卷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/>
              <w:ind w:left="108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8.属于行政查询事项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restart"/>
          </w:tcPr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rPr>
                <w:rFonts w:ascii="Times New Roman"/>
                <w:sz w:val="20"/>
                <w:highlight w:val="none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  <w:highlight w:val="none"/>
              </w:rPr>
            </w:pPr>
          </w:p>
          <w:p>
            <w:pPr>
              <w:pStyle w:val="7"/>
              <w:spacing w:before="1" w:line="292" w:lineRule="auto"/>
              <w:ind w:left="107" w:right="123"/>
              <w:jc w:val="both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（四） 无法提供</w:t>
            </w: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1.本机关不掌握相关政府信息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default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14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right="243"/>
              <w:jc w:val="center"/>
              <w:rPr>
                <w:rFonts w:hint="default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2.没有现成信息需要另行制作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3.补正后申请内容仍不明确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restart"/>
          </w:tcPr>
          <w:p>
            <w:pPr>
              <w:pStyle w:val="7"/>
              <w:spacing w:before="28" w:line="292" w:lineRule="auto"/>
              <w:ind w:left="107" w:right="123"/>
              <w:jc w:val="both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（五） 不予处理</w:t>
            </w: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1.信访举报投诉类申请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/>
              <w:ind w:left="108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2.重复申请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10"/>
              <w:rPr>
                <w:rFonts w:ascii="Times New Roman"/>
                <w:sz w:val="23"/>
                <w:highlight w:val="none"/>
              </w:rPr>
            </w:pPr>
          </w:p>
          <w:p>
            <w:pPr>
              <w:pStyle w:val="7"/>
              <w:spacing w:line="198" w:lineRule="exact"/>
              <w:ind w:left="108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3.要求提供公开出版</w:t>
            </w:r>
          </w:p>
        </w:tc>
        <w:tc>
          <w:tcPr>
            <w:tcW w:w="814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ind w:left="0"/>
        <w:rPr>
          <w:rFonts w:ascii="Times New Roman"/>
          <w:sz w:val="8"/>
          <w:highlight w:val="none"/>
        </w:r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53"/>
        <w:gridCol w:w="2087"/>
        <w:gridCol w:w="814"/>
        <w:gridCol w:w="755"/>
        <w:gridCol w:w="755"/>
        <w:gridCol w:w="815"/>
        <w:gridCol w:w="973"/>
        <w:gridCol w:w="713"/>
        <w:gridCol w:w="6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19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  <w:highlight w:val="none"/>
              </w:rPr>
            </w:pPr>
          </w:p>
        </w:tc>
        <w:tc>
          <w:tcPr>
            <w:tcW w:w="853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  <w:highlight w:val="none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>
            <w:pPr>
              <w:pStyle w:val="7"/>
              <w:spacing w:before="28"/>
              <w:ind w:left="108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w w:val="100"/>
                <w:sz w:val="20"/>
                <w:highlight w:val="none"/>
              </w:rPr>
              <w:t>物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  <w:highlight w:val="none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  <w:highlight w:val="none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  <w:highlight w:val="none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  <w:highlight w:val="none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  <w:highlight w:val="none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>
            <w:pPr>
              <w:pStyle w:val="7"/>
              <w:rPr>
                <w:rFonts w:hint="eastAsia" w:ascii="Times New Roman" w:eastAsia="宋体"/>
                <w:sz w:val="26"/>
                <w:highlight w:val="none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7"/>
              <w:rPr>
                <w:rFonts w:hint="eastAsia" w:ascii="Times New Roman" w:eastAsia="宋体"/>
                <w:sz w:val="26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4.无正当理由大量反复申请</w:t>
            </w:r>
          </w:p>
        </w:tc>
        <w:tc>
          <w:tcPr>
            <w:tcW w:w="814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087" w:type="dxa"/>
          </w:tcPr>
          <w:p>
            <w:pPr>
              <w:pStyle w:val="7"/>
              <w:spacing w:before="28" w:line="292" w:lineRule="auto"/>
              <w:ind w:left="108" w:right="155"/>
              <w:jc w:val="both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5.要求行政机关确认或重新出具已获取信息</w:t>
            </w:r>
          </w:p>
        </w:tc>
        <w:tc>
          <w:tcPr>
            <w:tcW w:w="814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宋体" w:eastAsia="楷体" w:cs="宋体"/>
                <w:sz w:val="20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2940" w:type="dxa"/>
            <w:gridSpan w:val="2"/>
          </w:tcPr>
          <w:p>
            <w:pPr>
              <w:pStyle w:val="7"/>
              <w:spacing w:before="28"/>
              <w:ind w:left="107"/>
              <w:rPr>
                <w:rFonts w:hint="eastAsia" w:ascii="楷体" w:hAnsi="宋体" w:eastAsia="楷体" w:cs="宋体"/>
                <w:sz w:val="20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楷体" w:hAnsi="宋体" w:eastAsia="楷体" w:cs="宋体"/>
                <w:sz w:val="20"/>
                <w:szCs w:val="22"/>
                <w:highlight w:val="none"/>
                <w:lang w:val="zh-CN" w:eastAsia="zh-CN" w:bidi="zh-CN"/>
              </w:rPr>
              <w:t>（六）其他处理</w:t>
            </w:r>
          </w:p>
        </w:tc>
        <w:tc>
          <w:tcPr>
            <w:tcW w:w="814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4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宋体" w:eastAsia="楷体" w:cs="宋体"/>
                <w:sz w:val="20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2940" w:type="dxa"/>
            <w:gridSpan w:val="2"/>
          </w:tcPr>
          <w:p>
            <w:pPr>
              <w:pStyle w:val="7"/>
              <w:spacing w:before="28"/>
              <w:ind w:left="107"/>
              <w:rPr>
                <w:rFonts w:hint="eastAsia" w:ascii="楷体" w:hAnsi="宋体" w:eastAsia="楷体" w:cs="宋体"/>
                <w:sz w:val="20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楷体" w:hAnsi="宋体" w:eastAsia="楷体" w:cs="宋体"/>
                <w:sz w:val="20"/>
                <w:szCs w:val="22"/>
                <w:highlight w:val="none"/>
                <w:lang w:val="zh-CN" w:eastAsia="zh-CN" w:bidi="zh-CN"/>
              </w:rPr>
              <w:t>（七）总计</w:t>
            </w:r>
          </w:p>
        </w:tc>
        <w:tc>
          <w:tcPr>
            <w:tcW w:w="814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default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26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34"/>
              <w:ind w:right="243"/>
              <w:jc w:val="center"/>
              <w:rPr>
                <w:rFonts w:hint="default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59" w:type="dxa"/>
            <w:gridSpan w:val="3"/>
          </w:tcPr>
          <w:p>
            <w:pPr>
              <w:pStyle w:val="7"/>
              <w:spacing w:before="28" w:line="292" w:lineRule="auto"/>
              <w:ind w:left="108" w:right="155"/>
              <w:jc w:val="both"/>
              <w:rPr>
                <w:rFonts w:hint="eastAsia" w:ascii="楷体" w:eastAsia="楷体"/>
                <w:sz w:val="20"/>
                <w:highlight w:val="none"/>
              </w:rPr>
            </w:pPr>
            <w:r>
              <w:rPr>
                <w:rFonts w:hint="eastAsia" w:ascii="楷体" w:eastAsia="楷体"/>
                <w:sz w:val="20"/>
                <w:highlight w:val="none"/>
              </w:rPr>
              <w:t>四、结转下年度继续办理</w:t>
            </w:r>
          </w:p>
        </w:tc>
        <w:tc>
          <w:tcPr>
            <w:tcW w:w="814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815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713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34"/>
              <w:ind w:left="262" w:right="243"/>
              <w:jc w:val="center"/>
              <w:rPr>
                <w:rFonts w:hint="eastAsia" w:ascii="Calibri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sz w:val="20"/>
                <w:highlight w:val="none"/>
                <w:lang w:val="en-US" w:eastAsia="zh-CN"/>
              </w:rPr>
              <w:t>1</w:t>
            </w:r>
          </w:p>
        </w:tc>
      </w:tr>
    </w:tbl>
    <w:p>
      <w:pPr>
        <w:pStyle w:val="2"/>
        <w:spacing w:before="106"/>
        <w:ind w:left="927"/>
        <w:rPr>
          <w:rFonts w:hint="eastAsia" w:ascii="黑体" w:eastAsia="黑体"/>
        </w:rPr>
      </w:pPr>
      <w:r>
        <w:rPr>
          <w:rFonts w:hint="eastAsia" w:ascii="黑体" w:eastAsia="黑体"/>
          <w:color w:val="323232"/>
        </w:rPr>
        <w:t>四、政府信息公开行政复议、行政诉讼情况</w:t>
      </w:r>
    </w:p>
    <w:p>
      <w:pPr>
        <w:pStyle w:val="2"/>
        <w:spacing w:before="5"/>
        <w:ind w:left="0"/>
        <w:rPr>
          <w:rFonts w:ascii="黑体"/>
          <w:sz w:val="8"/>
        </w:r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4"/>
        <w:gridCol w:w="605"/>
        <w:gridCol w:w="604"/>
        <w:gridCol w:w="658"/>
        <w:gridCol w:w="551"/>
        <w:gridCol w:w="605"/>
        <w:gridCol w:w="605"/>
        <w:gridCol w:w="605"/>
        <w:gridCol w:w="605"/>
        <w:gridCol w:w="605"/>
        <w:gridCol w:w="606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076" w:type="dxa"/>
            <w:gridSpan w:val="5"/>
          </w:tcPr>
          <w:p>
            <w:pPr>
              <w:pStyle w:val="7"/>
              <w:spacing w:before="28"/>
              <w:ind w:left="1116" w:right="1099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行政复议</w:t>
            </w:r>
          </w:p>
        </w:tc>
        <w:tc>
          <w:tcPr>
            <w:tcW w:w="5999" w:type="dxa"/>
            <w:gridSpan w:val="10"/>
          </w:tcPr>
          <w:p>
            <w:pPr>
              <w:pStyle w:val="7"/>
              <w:spacing w:before="28"/>
              <w:ind w:left="2576" w:right="2562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05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1" w:right="181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结果维持</w:t>
            </w:r>
          </w:p>
        </w:tc>
        <w:tc>
          <w:tcPr>
            <w:tcW w:w="604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1" w:right="180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结果纠正</w:t>
            </w:r>
          </w:p>
        </w:tc>
        <w:tc>
          <w:tcPr>
            <w:tcW w:w="605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0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</w:tcPr>
          <w:p>
            <w:pPr>
              <w:pStyle w:val="7"/>
              <w:spacing w:before="5"/>
              <w:rPr>
                <w:rFonts w:ascii="黑体"/>
                <w:sz w:val="21"/>
                <w:highlight w:val="none"/>
              </w:rPr>
            </w:pPr>
          </w:p>
          <w:p>
            <w:pPr>
              <w:pStyle w:val="7"/>
              <w:spacing w:line="292" w:lineRule="auto"/>
              <w:ind w:left="200" w:right="181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尚未审结</w:t>
            </w:r>
          </w:p>
        </w:tc>
        <w:tc>
          <w:tcPr>
            <w:tcW w:w="658" w:type="dxa"/>
            <w:vMerge w:val="restart"/>
          </w:tcPr>
          <w:p>
            <w:pPr>
              <w:pStyle w:val="7"/>
              <w:rPr>
                <w:rFonts w:ascii="黑体"/>
                <w:sz w:val="20"/>
                <w:highlight w:val="none"/>
              </w:rPr>
            </w:pPr>
          </w:p>
          <w:p>
            <w:pPr>
              <w:pStyle w:val="7"/>
              <w:rPr>
                <w:rFonts w:ascii="黑体"/>
                <w:sz w:val="20"/>
                <w:highlight w:val="none"/>
              </w:rPr>
            </w:pPr>
          </w:p>
          <w:p>
            <w:pPr>
              <w:pStyle w:val="7"/>
              <w:spacing w:before="12"/>
              <w:rPr>
                <w:rFonts w:ascii="黑体"/>
                <w:sz w:val="17"/>
                <w:highlight w:val="none"/>
              </w:rPr>
            </w:pPr>
          </w:p>
          <w:p>
            <w:pPr>
              <w:pStyle w:val="7"/>
              <w:ind w:left="126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总计</w:t>
            </w:r>
          </w:p>
        </w:tc>
        <w:tc>
          <w:tcPr>
            <w:tcW w:w="2971" w:type="dxa"/>
            <w:gridSpan w:val="5"/>
          </w:tcPr>
          <w:p>
            <w:pPr>
              <w:pStyle w:val="7"/>
              <w:spacing w:before="28"/>
              <w:ind w:left="682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未经复议直接起诉</w:t>
            </w:r>
          </w:p>
        </w:tc>
        <w:tc>
          <w:tcPr>
            <w:tcW w:w="3028" w:type="dxa"/>
            <w:gridSpan w:val="5"/>
          </w:tcPr>
          <w:p>
            <w:pPr>
              <w:pStyle w:val="7"/>
              <w:spacing w:before="28"/>
              <w:ind w:left="1009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551" w:type="dxa"/>
          </w:tcPr>
          <w:p>
            <w:pPr>
              <w:pStyle w:val="7"/>
              <w:spacing w:before="28" w:line="292" w:lineRule="auto"/>
              <w:ind w:left="172" w:right="156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结果维持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9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9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其他结果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9" w:right="183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尚未审结</w:t>
            </w:r>
          </w:p>
        </w:tc>
        <w:tc>
          <w:tcPr>
            <w:tcW w:w="605" w:type="dxa"/>
          </w:tcPr>
          <w:p>
            <w:pPr>
              <w:pStyle w:val="7"/>
              <w:spacing w:before="7"/>
              <w:rPr>
                <w:rFonts w:ascii="黑体"/>
                <w:sz w:val="26"/>
                <w:highlight w:val="none"/>
              </w:rPr>
            </w:pPr>
          </w:p>
          <w:p>
            <w:pPr>
              <w:pStyle w:val="7"/>
              <w:spacing w:line="292" w:lineRule="auto"/>
              <w:ind w:left="198" w:right="183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总计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8" w:right="185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结果维持</w:t>
            </w:r>
          </w:p>
        </w:tc>
        <w:tc>
          <w:tcPr>
            <w:tcW w:w="606" w:type="dxa"/>
          </w:tcPr>
          <w:p>
            <w:pPr>
              <w:pStyle w:val="7"/>
              <w:spacing w:before="28" w:line="292" w:lineRule="auto"/>
              <w:ind w:left="198" w:right="185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7"/>
              <w:spacing w:before="28" w:line="292" w:lineRule="auto"/>
              <w:ind w:left="198" w:right="184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其他结果</w:t>
            </w:r>
          </w:p>
        </w:tc>
        <w:tc>
          <w:tcPr>
            <w:tcW w:w="606" w:type="dxa"/>
          </w:tcPr>
          <w:p>
            <w:pPr>
              <w:pStyle w:val="7"/>
              <w:spacing w:before="28" w:line="292" w:lineRule="auto"/>
              <w:ind w:left="199" w:right="184"/>
              <w:jc w:val="both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尚未审结</w:t>
            </w:r>
          </w:p>
        </w:tc>
        <w:tc>
          <w:tcPr>
            <w:tcW w:w="606" w:type="dxa"/>
          </w:tcPr>
          <w:p>
            <w:pPr>
              <w:pStyle w:val="7"/>
              <w:spacing w:before="7"/>
              <w:rPr>
                <w:rFonts w:ascii="黑体"/>
                <w:sz w:val="26"/>
                <w:highlight w:val="none"/>
              </w:rPr>
            </w:pPr>
          </w:p>
          <w:p>
            <w:pPr>
              <w:pStyle w:val="7"/>
              <w:spacing w:line="292" w:lineRule="auto"/>
              <w:ind w:left="199" w:right="184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551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</w:tcPr>
          <w:p>
            <w:pPr>
              <w:pStyle w:val="7"/>
              <w:spacing w:before="34"/>
              <w:ind w:left="62"/>
              <w:jc w:val="center"/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/>
                <w:w w:val="100"/>
                <w:sz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spacing w:before="145"/>
        <w:ind w:left="911"/>
        <w:rPr>
          <w:rFonts w:hint="eastAsia" w:ascii="黑体" w:eastAsia="黑体"/>
        </w:rPr>
      </w:pPr>
      <w:r>
        <w:rPr>
          <w:rFonts w:hint="eastAsia" w:ascii="黑体" w:eastAsia="黑体"/>
        </w:rPr>
        <w:t>五、存在的主要问题及改进情况</w:t>
      </w:r>
    </w:p>
    <w:p>
      <w:pPr>
        <w:pStyle w:val="2"/>
        <w:spacing w:before="170" w:line="338" w:lineRule="auto"/>
        <w:ind w:right="74" w:firstLine="639"/>
        <w:rPr>
          <w:highlight w:val="none"/>
        </w:rPr>
      </w:pPr>
      <w:r>
        <w:rPr>
          <w:highlight w:val="none"/>
        </w:rPr>
        <w:t>过去一年，我区政府政府信息公开工作取得了一定的成绩， 但仍存在一切不足，主要表现为：</w:t>
      </w:r>
      <w:r>
        <w:rPr>
          <w:rFonts w:hint="eastAsia"/>
          <w:highlight w:val="none"/>
          <w:lang w:eastAsia="zh-CN"/>
        </w:rPr>
        <w:t>政务公开工作力量无法适应日益增加的信息公开工作需求</w:t>
      </w:r>
      <w:r>
        <w:rPr>
          <w:highlight w:val="none"/>
        </w:rPr>
        <w:t>；</w:t>
      </w:r>
      <w:r>
        <w:rPr>
          <w:rFonts w:hint="eastAsia"/>
          <w:highlight w:val="none"/>
        </w:rPr>
        <w:t>信息公开实用性有待提升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公开信息</w:t>
      </w:r>
      <w:r>
        <w:rPr>
          <w:rFonts w:hint="eastAsia"/>
          <w:highlight w:val="none"/>
          <w:lang w:eastAsia="zh-CN"/>
        </w:rPr>
        <w:t>缺乏宣传和指引，导致群众不知从何渠道可以获取政府信息</w:t>
      </w:r>
      <w:r>
        <w:rPr>
          <w:rFonts w:hint="eastAsia"/>
          <w:highlight w:val="none"/>
        </w:rPr>
        <w:t>。</w:t>
      </w:r>
    </w:p>
    <w:p>
      <w:pPr>
        <w:pStyle w:val="2"/>
        <w:spacing w:before="7" w:line="340" w:lineRule="auto"/>
        <w:ind w:right="234" w:firstLine="639"/>
        <w:rPr>
          <w:highlight w:val="none"/>
        </w:rPr>
      </w:pPr>
      <w:r>
        <w:rPr>
          <w:highlight w:val="none"/>
        </w:rPr>
        <w:t>2020年，我区将认真贯彻上级精神，继续将政务共公开作为加快建设法治政府的总要抓手。重点做好以下几方面工作：</w:t>
      </w:r>
    </w:p>
    <w:p>
      <w:pPr>
        <w:pStyle w:val="2"/>
        <w:spacing w:line="340" w:lineRule="auto"/>
        <w:ind w:right="73" w:firstLine="639"/>
        <w:rPr>
          <w:rFonts w:hint="eastAsia"/>
          <w:highlight w:val="none"/>
          <w:lang w:eastAsia="zh-CN"/>
        </w:rPr>
      </w:pPr>
      <w:r>
        <w:rPr>
          <w:rFonts w:hint="eastAsia" w:ascii="楷体_GB2312" w:eastAsia="楷体_GB2312"/>
          <w:highlight w:val="none"/>
        </w:rPr>
        <w:t>（一）</w:t>
      </w:r>
      <w:r>
        <w:rPr>
          <w:rFonts w:hint="eastAsia" w:ascii="楷体_GB2312" w:eastAsia="楷体_GB2312"/>
          <w:highlight w:val="none"/>
          <w:lang w:eastAsia="zh-CN"/>
        </w:rPr>
        <w:t>筑牢政务公开专区建设，形成公开新格局</w:t>
      </w:r>
      <w:r>
        <w:rPr>
          <w:rFonts w:hint="eastAsia" w:ascii="楷体_GB2312" w:eastAsia="楷体_GB2312"/>
          <w:highlight w:val="none"/>
        </w:rPr>
        <w:t>。</w:t>
      </w:r>
      <w:r>
        <w:rPr>
          <w:rFonts w:hint="eastAsia"/>
          <w:highlight w:val="none"/>
          <w:lang w:eastAsia="zh-CN"/>
        </w:rPr>
        <w:t>加强政务公开专区建设工作，形成全区统一、全区覆盖的江北公开“网络”；加强政务公开专区宣传工作，通过多途径、多形式、多渠道的宣传模式，提升公开专区宣传力度和广度，保障办事群众知情权，不断提升政务服务水平。</w:t>
      </w:r>
    </w:p>
    <w:p>
      <w:pPr>
        <w:pStyle w:val="2"/>
        <w:spacing w:before="170" w:line="338" w:lineRule="auto"/>
        <w:ind w:right="300" w:firstLine="639"/>
        <w:jc w:val="both"/>
        <w:rPr>
          <w:rFonts w:hint="eastAsia"/>
          <w:highlight w:val="none"/>
          <w:lang w:eastAsia="zh-CN"/>
        </w:rPr>
      </w:pPr>
      <w:r>
        <w:rPr>
          <w:rFonts w:hint="eastAsia" w:ascii="楷体_GB2312" w:eastAsia="楷体_GB2312"/>
          <w:highlight w:val="none"/>
          <w:lang w:eastAsia="zh-CN"/>
        </w:rPr>
        <w:t>（二）紧盯依申请公开工作，建立公开新机制。</w:t>
      </w:r>
      <w:r>
        <w:rPr>
          <w:rFonts w:hint="eastAsia"/>
          <w:highlight w:val="none"/>
          <w:lang w:eastAsia="zh-CN"/>
        </w:rPr>
        <w:t>深化对《政府信息公开条例》的理解应用，严格依法依程序办理依申请公开，进一步加大对依申请公开办理人员培训力度，合理完善全区依申请公开件答复内部流程。</w:t>
      </w:r>
    </w:p>
    <w:p>
      <w:pPr>
        <w:pStyle w:val="2"/>
        <w:spacing w:before="7" w:line="340" w:lineRule="auto"/>
        <w:ind w:right="143" w:firstLine="639"/>
        <w:jc w:val="both"/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highlight w:val="none"/>
          <w:lang w:eastAsia="zh-CN"/>
        </w:rPr>
        <w:t>（三）夯实政策解读力度，摸索公开新办法。</w:t>
      </w:r>
      <w:r>
        <w:rPr>
          <w:rFonts w:hint="eastAsia"/>
          <w:highlight w:val="none"/>
          <w:lang w:eastAsia="zh-CN"/>
        </w:rPr>
        <w:t>按照“谁起草、谁解读”的原则，进一步加强解读力度，对政策文件进行深入浅出的全面解读。探索政策解读新路径、新形式，注重创新思路，采用图片、音频等多种形式，不断加大政策解读实用性与可读性，不断提升人民群众获得感和满意度。</w:t>
      </w:r>
    </w:p>
    <w:p>
      <w:pPr>
        <w:pStyle w:val="2"/>
        <w:spacing w:line="403" w:lineRule="exact"/>
        <w:ind w:left="911"/>
        <w:rPr>
          <w:rFonts w:hint="eastAsia" w:ascii="黑体" w:eastAsia="黑体"/>
        </w:rPr>
      </w:pPr>
      <w:r>
        <w:rPr>
          <w:rFonts w:hint="eastAsia" w:ascii="黑体" w:eastAsia="黑体"/>
        </w:rPr>
        <w:t>六、其他需要报告的事项</w:t>
      </w:r>
    </w:p>
    <w:p>
      <w:pPr>
        <w:pStyle w:val="2"/>
        <w:spacing w:before="171"/>
        <w:ind w:left="927"/>
      </w:pPr>
      <w:r>
        <w:t>本年度无其他需要报告的事项。</w:t>
      </w:r>
    </w:p>
    <w:sectPr>
      <w:footerReference r:id="rId5" w:type="default"/>
      <w:pgSz w:w="11910" w:h="16840"/>
      <w:pgMar w:top="1600" w:right="1280" w:bottom="1180" w:left="1300" w:header="0" w:footer="9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9919970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5pt;margin-top:781.1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p1nwPZAAAADQEAAA8AAAAAAAAAAQAgAAAAIgAAAGRycy9kb3ducmV2LnhtbFBLAQIU&#10;ABQAAAAIAIdO4kCsOuTr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74B1B"/>
    <w:multiLevelType w:val="singleLevel"/>
    <w:tmpl w:val="63074B1B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B34A5"/>
    <w:rsid w:val="0D5A33BB"/>
    <w:rsid w:val="0D933C5A"/>
    <w:rsid w:val="1F3D68C9"/>
    <w:rsid w:val="1FC35917"/>
    <w:rsid w:val="2D07403D"/>
    <w:rsid w:val="39053FAD"/>
    <w:rsid w:val="3A5A5934"/>
    <w:rsid w:val="3C842149"/>
    <w:rsid w:val="43C46E1F"/>
    <w:rsid w:val="4D4E512D"/>
    <w:rsid w:val="554D09C2"/>
    <w:rsid w:val="59B86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8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2021-01-08T05:52:00Z</dcterms:created>
  <dc:creator>WIN7</dc:creator>
  <cp:lastModifiedBy>袁梦雨</cp:lastModifiedBy>
  <dcterms:modified xsi:type="dcterms:W3CDTF">2021-03-29T01:33:53Z</dcterms:modified>
  <dc:title>&lt;4D6963726F736F667420576F7264202D20C4FEB2A8CAD0BDADB1B1C7F8C8CBC3F1D5FEB8AE32303139C4EAD5FECEF1B9ABBFAAB9A4D7F7C4EAB6C8B1A8B8E62E646F6378&gt;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2021-01-08T00:00:00Z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4E44780DCD064398998463CCE40F4F30</vt:lpwstr>
  </property>
</Properties>
</file>