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29" w:rsidRDefault="00504B29" w:rsidP="00504B29">
      <w:pPr>
        <w:adjustRightInd w:val="0"/>
        <w:snapToGrid w:val="0"/>
        <w:spacing w:line="540" w:lineRule="atLeast"/>
        <w:rPr>
          <w:rFonts w:ascii="黑体" w:eastAsia="黑体"/>
          <w:spacing w:val="-4"/>
          <w:sz w:val="32"/>
        </w:rPr>
      </w:pPr>
      <w:r>
        <w:rPr>
          <w:rFonts w:ascii="黑体" w:eastAsia="黑体" w:hint="eastAsia"/>
          <w:spacing w:val="-4"/>
          <w:sz w:val="32"/>
        </w:rPr>
        <w:t>附件：</w:t>
      </w:r>
    </w:p>
    <w:p w:rsidR="00504B29" w:rsidRDefault="00504B29" w:rsidP="00504B29">
      <w:pPr>
        <w:widowControl/>
        <w:spacing w:line="432" w:lineRule="atLeast"/>
        <w:jc w:val="center"/>
        <w:rPr>
          <w:rFonts w:ascii="创艺简标宋" w:eastAsia="创艺简标宋" w:hAnsi="宋体" w:cs="方正小标宋简体"/>
          <w:snapToGrid w:val="0"/>
          <w:color w:val="000000"/>
          <w:spacing w:val="-4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tbl>
      <w:tblPr>
        <w:tblW w:w="8884" w:type="dxa"/>
        <w:jc w:val="center"/>
        <w:tblInd w:w="-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8"/>
        <w:gridCol w:w="806"/>
        <w:gridCol w:w="1620"/>
      </w:tblGrid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（不同渠道和方式公开相同信息计1条）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2873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1.政府公报公开政府信息数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trHeight w:val="9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2.政府网站公开政府信息数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285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3.政务</w:t>
            </w:r>
            <w:proofErr w:type="gramStart"/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360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4.</w:t>
            </w:r>
            <w:proofErr w:type="gramStart"/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172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5.其他方式公开政府信息数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2056</w:t>
            </w:r>
          </w:p>
        </w:tc>
      </w:tr>
      <w:tr w:rsidR="00504B29" w:rsidTr="009D3048">
        <w:trPr>
          <w:trHeight w:val="435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trHeight w:val="10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（不同方式回应同一热点或舆情计1次）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1.参加或举办新闻发布会总次数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2.政府网站在线访谈次数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3.政策解读稿件发布数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4.</w:t>
            </w:r>
            <w:proofErr w:type="gramStart"/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B965A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B965AC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80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5.其他方式回应事件数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1.当面申请数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2.传真申请数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3.网络申请数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4.信函申请数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1.按时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726F4E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726F4E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2.延期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1.属于已主动公开范围数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2.同意公开答复数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3.同意部分公开答复数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4.不同意公开答复数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trHeight w:val="4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trHeight w:val="4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5.不属于本行政机关公开数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6.申请信息不存在数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7.告知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8.告知通过其他途径办理数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2.兼职人员数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5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4</w:t>
            </w:r>
          </w:p>
        </w:tc>
      </w:tr>
      <w:tr w:rsidR="00504B29" w:rsidTr="009D3048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4B29" w:rsidRPr="00DD0AEC" w:rsidRDefault="00504B29" w:rsidP="009D304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62</w:t>
            </w:r>
          </w:p>
        </w:tc>
      </w:tr>
    </w:tbl>
    <w:p w:rsidR="00504B29" w:rsidRDefault="00504B29" w:rsidP="00504B29"/>
    <w:p w:rsidR="00504B29" w:rsidRDefault="00504B29" w:rsidP="00504B29"/>
    <w:p w:rsidR="00504B29" w:rsidRDefault="00504B29" w:rsidP="00504B29"/>
    <w:p w:rsidR="00000000" w:rsidRDefault="00504B29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29" w:rsidRDefault="00504B29" w:rsidP="00504B29">
      <w:r>
        <w:separator/>
      </w:r>
    </w:p>
  </w:endnote>
  <w:endnote w:type="continuationSeparator" w:id="1">
    <w:p w:rsidR="00504B29" w:rsidRDefault="00504B29" w:rsidP="0050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29" w:rsidRDefault="00504B29" w:rsidP="00504B29">
      <w:r>
        <w:separator/>
      </w:r>
    </w:p>
  </w:footnote>
  <w:footnote w:type="continuationSeparator" w:id="1">
    <w:p w:rsidR="00504B29" w:rsidRDefault="00504B29" w:rsidP="00504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B29"/>
    <w:rsid w:val="0050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794</Characters>
  <Application>Microsoft Office Word</Application>
  <DocSecurity>0</DocSecurity>
  <Lines>158</Lines>
  <Paragraphs>70</Paragraphs>
  <ScaleCrop>false</ScaleCrop>
  <Company>China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姜成杰(jiangchengjie)/nbjbq</dc:creator>
  <cp:keywords/>
  <dc:description/>
  <cp:lastModifiedBy>姜成杰(jiangchengjie)/nbjbq</cp:lastModifiedBy>
  <cp:revision>2</cp:revision>
  <dcterms:created xsi:type="dcterms:W3CDTF">2018-03-26T09:10:00Z</dcterms:created>
  <dcterms:modified xsi:type="dcterms:W3CDTF">2018-03-26T09:11:00Z</dcterms:modified>
</cp:coreProperties>
</file>